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2774F4"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07F70630" wp14:editId="2AB514B7">
                  <wp:simplePos x="0" y="0"/>
                  <wp:positionH relativeFrom="column">
                    <wp:posOffset>-85725</wp:posOffset>
                  </wp:positionH>
                  <wp:positionV relativeFrom="page">
                    <wp:posOffset>97155</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510"/>
        <w:gridCol w:w="5000"/>
      </w:tblGrid>
      <w:tr w:rsidR="00333FAA" w:rsidTr="00FF509C">
        <w:tc>
          <w:tcPr>
            <w:tcW w:w="3510"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00"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rsidTr="00FF509C">
        <w:tc>
          <w:tcPr>
            <w:tcW w:w="3510"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00" w:type="dxa"/>
            <w:tcBorders>
              <w:top w:val="single" w:sz="18" w:space="0" w:color="auto"/>
            </w:tcBorders>
          </w:tcPr>
          <w:p w:rsidR="00333FAA" w:rsidRDefault="00FF509C" w:rsidP="00DD3A49">
            <w:pPr>
              <w:rPr>
                <w:rFonts w:cs="Arial"/>
              </w:rPr>
            </w:pPr>
            <w:r w:rsidRPr="006B1DE1">
              <w:rPr>
                <w:rFonts w:cs="Arial"/>
              </w:rPr>
              <w:t>1</w:t>
            </w:r>
            <w:r w:rsidR="00DD3A49">
              <w:rPr>
                <w:rFonts w:cs="Arial"/>
              </w:rPr>
              <w:t>8</w:t>
            </w:r>
            <w:r w:rsidRPr="006B1DE1">
              <w:rPr>
                <w:rFonts w:cs="Arial"/>
              </w:rPr>
              <w:t xml:space="preserve"> </w:t>
            </w:r>
            <w:r w:rsidR="00DD3A49">
              <w:rPr>
                <w:rFonts w:cs="Arial"/>
              </w:rPr>
              <w:t>February</w:t>
            </w:r>
            <w:r w:rsidRPr="006B1DE1">
              <w:rPr>
                <w:rFonts w:cs="Arial"/>
              </w:rPr>
              <w:t xml:space="preserve"> 201</w:t>
            </w:r>
            <w:r w:rsidR="00DD3A49">
              <w:rPr>
                <w:rFonts w:cs="Arial"/>
              </w:rPr>
              <w:t>6</w:t>
            </w:r>
          </w:p>
          <w:p w:rsidR="00DD3A49" w:rsidRPr="005E3A10" w:rsidRDefault="00DD3A49" w:rsidP="00DD3A49">
            <w:pPr>
              <w:rPr>
                <w:rFonts w:cs="Arial"/>
                <w:szCs w:val="24"/>
              </w:rPr>
            </w:pPr>
          </w:p>
        </w:tc>
      </w:tr>
      <w:tr w:rsidR="00333FAA" w:rsidTr="00FF509C">
        <w:tc>
          <w:tcPr>
            <w:tcW w:w="3510"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00" w:type="dxa"/>
          </w:tcPr>
          <w:p w:rsidR="00333FAA" w:rsidRPr="005E3A10" w:rsidRDefault="00FF509C" w:rsidP="00DD3A49">
            <w:pPr>
              <w:rPr>
                <w:rFonts w:cs="Arial"/>
                <w:szCs w:val="24"/>
              </w:rPr>
            </w:pPr>
            <w:r w:rsidRPr="006B1DE1">
              <w:rPr>
                <w:rFonts w:cs="Arial"/>
              </w:rPr>
              <w:t xml:space="preserve">Revenue and Capital Monitoring for Quarter </w:t>
            </w:r>
            <w:r w:rsidR="00DD3A49">
              <w:rPr>
                <w:rFonts w:cs="Arial"/>
              </w:rPr>
              <w:t>3</w:t>
            </w:r>
            <w:r w:rsidRPr="006B1DE1">
              <w:rPr>
                <w:rFonts w:cs="Arial"/>
              </w:rPr>
              <w:t xml:space="preserve"> as at 3</w:t>
            </w:r>
            <w:r w:rsidR="00DD3A49">
              <w:rPr>
                <w:rFonts w:cs="Arial"/>
              </w:rPr>
              <w:t>1 December</w:t>
            </w:r>
            <w:r w:rsidRPr="006B1DE1">
              <w:rPr>
                <w:rFonts w:cs="Arial"/>
              </w:rPr>
              <w:t xml:space="preserve"> 2015</w:t>
            </w:r>
          </w:p>
        </w:tc>
      </w:tr>
      <w:tr w:rsidR="00333FAA" w:rsidTr="00FF509C">
        <w:tc>
          <w:tcPr>
            <w:tcW w:w="3510"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00" w:type="dxa"/>
          </w:tcPr>
          <w:p w:rsidR="00333FAA" w:rsidRPr="005E3A10" w:rsidRDefault="006D3696" w:rsidP="002C672F">
            <w:pPr>
              <w:pStyle w:val="Infotext"/>
              <w:rPr>
                <w:rFonts w:cs="Arial"/>
                <w:szCs w:val="24"/>
              </w:rPr>
            </w:pPr>
            <w:r>
              <w:rPr>
                <w:rFonts w:cs="Arial"/>
                <w:sz w:val="24"/>
                <w:szCs w:val="24"/>
              </w:rPr>
              <w:t>Yes</w:t>
            </w:r>
          </w:p>
        </w:tc>
      </w:tr>
      <w:tr w:rsidR="001C7E35" w:rsidTr="00FF509C">
        <w:tc>
          <w:tcPr>
            <w:tcW w:w="3510"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00" w:type="dxa"/>
          </w:tcPr>
          <w:p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00" w:type="dxa"/>
          </w:tcPr>
          <w:p w:rsidR="001C7E35" w:rsidRPr="005E3A10" w:rsidRDefault="00FF509C" w:rsidP="00D835CF">
            <w:pPr>
              <w:pStyle w:val="Infotext"/>
              <w:rPr>
                <w:rFonts w:cs="Arial"/>
                <w:color w:val="FF0000"/>
                <w:sz w:val="24"/>
                <w:szCs w:val="24"/>
              </w:rPr>
            </w:pPr>
            <w:r w:rsidRPr="00FF509C">
              <w:rPr>
                <w:rFonts w:cs="Arial"/>
                <w:sz w:val="24"/>
                <w:szCs w:val="24"/>
              </w:rPr>
              <w:t>Councillor Sachin Shah, Portfolio Holder for Finance and Major Contracts</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00" w:type="dxa"/>
          </w:tcPr>
          <w:p w:rsidR="001C7E35" w:rsidRPr="005E3A10" w:rsidRDefault="00C801D4" w:rsidP="00D835CF">
            <w:pPr>
              <w:pStyle w:val="Infotext"/>
              <w:rPr>
                <w:rFonts w:cs="Arial"/>
                <w:color w:val="FF0000"/>
                <w:sz w:val="24"/>
                <w:szCs w:val="24"/>
              </w:rPr>
            </w:pPr>
            <w:r>
              <w:rPr>
                <w:rFonts w:cs="Arial"/>
                <w:sz w:val="24"/>
                <w:szCs w:val="24"/>
              </w:rPr>
              <w:t>No</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00" w:type="dxa"/>
          </w:tcPr>
          <w:p w:rsidR="001C7E35" w:rsidRPr="005E3A10" w:rsidRDefault="001C7E35" w:rsidP="00D835CF">
            <w:pPr>
              <w:pStyle w:val="Infotext"/>
              <w:rPr>
                <w:rFonts w:cs="Arial"/>
                <w:sz w:val="24"/>
                <w:szCs w:val="24"/>
              </w:rPr>
            </w:pPr>
            <w:r w:rsidRPr="005E3A10">
              <w:rPr>
                <w:rFonts w:cs="Arial"/>
                <w:sz w:val="24"/>
                <w:szCs w:val="24"/>
              </w:rPr>
              <w:t xml:space="preserve">Yes </w:t>
            </w:r>
          </w:p>
          <w:p w:rsidR="001C7E35" w:rsidRPr="005E3A10" w:rsidRDefault="001C7E35" w:rsidP="00D835CF">
            <w:pPr>
              <w:rPr>
                <w:rFonts w:cs="Arial"/>
                <w:szCs w:val="24"/>
              </w:rPr>
            </w:pPr>
          </w:p>
          <w:p w:rsidR="00714BEE" w:rsidRPr="005E3A10" w:rsidRDefault="00714BEE" w:rsidP="00D835CF">
            <w:pPr>
              <w:rPr>
                <w:rFonts w:cs="Arial"/>
                <w:szCs w:val="24"/>
              </w:rPr>
            </w:pPr>
          </w:p>
        </w:tc>
      </w:tr>
      <w:tr w:rsidR="001C7E35" w:rsidTr="00FF509C">
        <w:tc>
          <w:tcPr>
            <w:tcW w:w="3510"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00" w:type="dxa"/>
          </w:tcPr>
          <w:p w:rsidR="001C7E35" w:rsidRPr="005E3A10" w:rsidRDefault="00FF509C" w:rsidP="00D835CF">
            <w:pPr>
              <w:rPr>
                <w:rFonts w:cs="Arial"/>
                <w:szCs w:val="24"/>
              </w:rPr>
            </w:pPr>
            <w:r>
              <w:rPr>
                <w:rFonts w:cs="Arial"/>
                <w:szCs w:val="24"/>
              </w:rPr>
              <w:t>All</w:t>
            </w:r>
          </w:p>
        </w:tc>
      </w:tr>
      <w:tr w:rsidR="001C7E35" w:rsidTr="00FF509C">
        <w:tc>
          <w:tcPr>
            <w:tcW w:w="3510"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00" w:type="dxa"/>
          </w:tcPr>
          <w:p w:rsidR="00FF509C" w:rsidRPr="006B1DE1" w:rsidRDefault="00FF509C" w:rsidP="00FF509C">
            <w:pPr>
              <w:ind w:left="1512" w:right="489" w:hanging="1512"/>
              <w:rPr>
                <w:rFonts w:cs="Arial"/>
              </w:rPr>
            </w:pPr>
            <w:r w:rsidRPr="006B1DE1">
              <w:rPr>
                <w:rFonts w:cs="Arial"/>
              </w:rPr>
              <w:t>Appendix 1 - Revenue Summary</w:t>
            </w:r>
          </w:p>
          <w:p w:rsidR="00FF509C" w:rsidRPr="006B1DE1" w:rsidRDefault="00FF509C" w:rsidP="00FF509C">
            <w:pPr>
              <w:ind w:left="1512" w:right="489" w:hanging="1512"/>
              <w:rPr>
                <w:rFonts w:cs="Arial"/>
              </w:rPr>
            </w:pPr>
            <w:r w:rsidRPr="006B1DE1">
              <w:rPr>
                <w:rFonts w:cs="Arial"/>
              </w:rPr>
              <w:t>(Directorates) as at 3</w:t>
            </w:r>
            <w:r w:rsidR="00DD3A49">
              <w:rPr>
                <w:rFonts w:cs="Arial"/>
              </w:rPr>
              <w:t>1</w:t>
            </w:r>
            <w:r w:rsidRPr="006B1DE1">
              <w:rPr>
                <w:rFonts w:cs="Arial"/>
              </w:rPr>
              <w:t xml:space="preserve"> </w:t>
            </w:r>
            <w:r w:rsidR="00DD3A49">
              <w:rPr>
                <w:rFonts w:cs="Arial"/>
              </w:rPr>
              <w:t xml:space="preserve">December </w:t>
            </w:r>
            <w:r w:rsidRPr="006B1DE1">
              <w:rPr>
                <w:rFonts w:cs="Arial"/>
              </w:rPr>
              <w:t>2015</w:t>
            </w:r>
          </w:p>
          <w:p w:rsidR="00FF509C" w:rsidRPr="006B1DE1" w:rsidRDefault="00FF509C" w:rsidP="00FF509C">
            <w:pPr>
              <w:ind w:left="1506" w:right="489" w:hanging="1506"/>
              <w:rPr>
                <w:rFonts w:cs="Arial"/>
              </w:rPr>
            </w:pPr>
            <w:r w:rsidRPr="006B1DE1">
              <w:rPr>
                <w:rFonts w:cs="Arial"/>
              </w:rPr>
              <w:t>Appendix 2 – MTFS 2015/16 to 2018/19</w:t>
            </w:r>
          </w:p>
          <w:p w:rsidR="00FF509C" w:rsidRPr="006B1DE1" w:rsidRDefault="00FF509C" w:rsidP="00FF509C">
            <w:pPr>
              <w:ind w:left="1506" w:right="489" w:hanging="1506"/>
              <w:rPr>
                <w:rFonts w:cs="Arial"/>
              </w:rPr>
            </w:pPr>
            <w:r w:rsidRPr="006B1DE1">
              <w:rPr>
                <w:rFonts w:cs="Arial"/>
              </w:rPr>
              <w:t>Savings Tracker</w:t>
            </w:r>
          </w:p>
          <w:p w:rsidR="00FF509C" w:rsidRPr="006B1DE1" w:rsidRDefault="00FF509C" w:rsidP="00FF509C">
            <w:pPr>
              <w:pStyle w:val="Heading3"/>
              <w:rPr>
                <w:b w:val="0"/>
                <w:i w:val="0"/>
                <w:szCs w:val="24"/>
              </w:rPr>
            </w:pPr>
            <w:r w:rsidRPr="006B1DE1">
              <w:rPr>
                <w:b w:val="0"/>
                <w:i w:val="0"/>
                <w:szCs w:val="24"/>
              </w:rPr>
              <w:t>Appendix 3 - Debt Management 2015/16</w:t>
            </w:r>
          </w:p>
          <w:p w:rsidR="00FF509C" w:rsidRPr="006B1DE1" w:rsidRDefault="00FF509C" w:rsidP="00FF509C">
            <w:pPr>
              <w:ind w:left="1506" w:hanging="1506"/>
            </w:pPr>
            <w:r w:rsidRPr="006B1DE1">
              <w:t>Appendix 4 – Capital Programme as at 3</w:t>
            </w:r>
            <w:r w:rsidR="00DD3A49">
              <w:t>1</w:t>
            </w:r>
          </w:p>
          <w:p w:rsidR="00FF509C" w:rsidRPr="006B1DE1" w:rsidRDefault="00DD3A49" w:rsidP="00FF509C">
            <w:pPr>
              <w:ind w:left="1506" w:hanging="1506"/>
            </w:pPr>
            <w:r>
              <w:t>December</w:t>
            </w:r>
            <w:r w:rsidR="00FF509C" w:rsidRPr="006B1DE1">
              <w:t xml:space="preserve"> 2015</w:t>
            </w:r>
          </w:p>
          <w:p w:rsidR="001C7E35" w:rsidRPr="005E3A10" w:rsidRDefault="001C7E35" w:rsidP="00274560">
            <w:pPr>
              <w:ind w:left="34" w:right="489" w:hanging="34"/>
              <w:rPr>
                <w:color w:val="FF0000"/>
                <w:szCs w:val="24"/>
              </w:rPr>
            </w:pPr>
          </w:p>
        </w:tc>
      </w:tr>
    </w:tbl>
    <w:p w:rsidR="00333FAA" w:rsidRDefault="00333FAA" w:rsidP="00333FAA">
      <w:pPr>
        <w:rPr>
          <w:rFonts w:cs="Arial"/>
        </w:rPr>
      </w:pPr>
    </w:p>
    <w:p w:rsidR="004076C8" w:rsidRDefault="004076C8" w:rsidP="00333FAA">
      <w:pPr>
        <w:rPr>
          <w:rFonts w:cs="Arial"/>
        </w:rPr>
      </w:pPr>
    </w:p>
    <w:p w:rsidR="00FF509C" w:rsidRDefault="00FF509C">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Default="00333FAA" w:rsidP="00A53B04"/>
          <w:p w:rsidR="00FF509C" w:rsidRPr="006B1DE1" w:rsidRDefault="00FF509C" w:rsidP="00FF509C">
            <w:r w:rsidRPr="006B1DE1">
              <w:t xml:space="preserve">This report sets out the Council’s revenue and capital monitoring position as at Quarter </w:t>
            </w:r>
            <w:r w:rsidR="00381232">
              <w:t>3</w:t>
            </w:r>
            <w:r w:rsidRPr="006B1DE1">
              <w:t xml:space="preserve"> 2015/16 (3</w:t>
            </w:r>
            <w:r w:rsidR="00381232">
              <w:t>1</w:t>
            </w:r>
            <w:r w:rsidRPr="006B1DE1">
              <w:t xml:space="preserve"> </w:t>
            </w:r>
            <w:r w:rsidR="00381232">
              <w:t>December</w:t>
            </w:r>
            <w:r w:rsidRPr="006B1DE1">
              <w:t xml:space="preserve"> 2015).</w:t>
            </w:r>
          </w:p>
          <w:p w:rsidR="00FF509C" w:rsidRPr="006B1DE1" w:rsidRDefault="00FF509C" w:rsidP="00FF509C"/>
          <w:p w:rsidR="00FF509C" w:rsidRPr="006B1DE1" w:rsidRDefault="00FF509C" w:rsidP="00FF509C">
            <w:pPr>
              <w:pStyle w:val="Heading2"/>
            </w:pPr>
            <w:r w:rsidRPr="006B1DE1">
              <w:t xml:space="preserve">Recommendations: </w:t>
            </w:r>
          </w:p>
          <w:p w:rsidR="00FF509C" w:rsidRPr="006B1DE1" w:rsidRDefault="00FF509C" w:rsidP="00FF509C"/>
          <w:p w:rsidR="00FF509C" w:rsidRDefault="00FF509C" w:rsidP="002774F4">
            <w:pPr>
              <w:pStyle w:val="ListParagraph"/>
              <w:numPr>
                <w:ilvl w:val="0"/>
                <w:numId w:val="2"/>
              </w:numPr>
            </w:pPr>
            <w:r w:rsidRPr="006B1DE1">
              <w:t xml:space="preserve">That Cabinet note the revenue and capital forecast positions detailed in this report as at Quarter </w:t>
            </w:r>
            <w:r w:rsidR="00DD3A49">
              <w:t>3</w:t>
            </w:r>
            <w:r w:rsidRPr="006B1DE1">
              <w:t xml:space="preserve"> 2015/16.</w:t>
            </w:r>
          </w:p>
          <w:p w:rsidR="00E81CDB" w:rsidRDefault="00E81CDB" w:rsidP="002774F4">
            <w:pPr>
              <w:pStyle w:val="ListParagraph"/>
              <w:numPr>
                <w:ilvl w:val="0"/>
                <w:numId w:val="2"/>
              </w:numPr>
            </w:pPr>
            <w:r w:rsidRPr="00956888">
              <w:t>That cabinet approves the write off of debts totalling £32k in the HRA as detailed in paragraph 3</w:t>
            </w:r>
            <w:r w:rsidR="00611E90">
              <w:t>6</w:t>
            </w:r>
            <w:r w:rsidRPr="00956888">
              <w:t>.</w:t>
            </w:r>
          </w:p>
          <w:p w:rsidR="00611E90" w:rsidRDefault="00611E90" w:rsidP="002774F4">
            <w:pPr>
              <w:pStyle w:val="ListParagraph"/>
              <w:numPr>
                <w:ilvl w:val="0"/>
                <w:numId w:val="2"/>
              </w:numPr>
            </w:pPr>
            <w:r>
              <w:t xml:space="preserve">That Cabinet approves the virement of £1.365m from the SEP2 contingency to the </w:t>
            </w:r>
            <w:r w:rsidRPr="00AA69B5">
              <w:rPr>
                <w:rFonts w:cs="Arial"/>
              </w:rPr>
              <w:t>School Expansion Phase 2 Programme</w:t>
            </w:r>
            <w:r>
              <w:rPr>
                <w:rFonts w:cs="Arial"/>
              </w:rPr>
              <w:t xml:space="preserve"> as set out in paragraph 131.</w:t>
            </w:r>
          </w:p>
          <w:p w:rsidR="00956888" w:rsidRDefault="00956888" w:rsidP="00956888">
            <w:pPr>
              <w:pStyle w:val="ListParagraph"/>
              <w:numPr>
                <w:ilvl w:val="0"/>
                <w:numId w:val="2"/>
              </w:numPr>
            </w:pPr>
            <w:r w:rsidRPr="00956888">
              <w:t>That Cabinet approves an addition to the capital programme of £7.5k funded from s106</w:t>
            </w:r>
            <w:r>
              <w:t xml:space="preserve"> in respect of Station Road Highway and Environmental Improvements</w:t>
            </w:r>
            <w:r w:rsidR="00A969AA">
              <w:t xml:space="preserve"> as detailed in paragraph </w:t>
            </w:r>
            <w:r w:rsidR="00D27440">
              <w:t>14</w:t>
            </w:r>
            <w:r w:rsidR="00611E90">
              <w:t>2</w:t>
            </w:r>
            <w:r w:rsidRPr="00956888">
              <w:t xml:space="preserve">. </w:t>
            </w:r>
          </w:p>
          <w:p w:rsidR="00FF509C" w:rsidRPr="006B1DE1" w:rsidRDefault="00FF509C" w:rsidP="00FF509C">
            <w:r w:rsidRPr="006B1DE1">
              <w:tab/>
            </w:r>
          </w:p>
          <w:p w:rsidR="00FF509C" w:rsidRPr="006B1DE1" w:rsidRDefault="00FF509C" w:rsidP="00FF509C">
            <w:pPr>
              <w:rPr>
                <w:b/>
                <w:sz w:val="28"/>
                <w:szCs w:val="28"/>
              </w:rPr>
            </w:pPr>
            <w:r w:rsidRPr="006B1DE1">
              <w:rPr>
                <w:b/>
                <w:sz w:val="28"/>
                <w:szCs w:val="28"/>
              </w:rPr>
              <w:t>Reason:  (For recommendation )</w:t>
            </w:r>
          </w:p>
          <w:p w:rsidR="00333FAA" w:rsidRDefault="00FF509C" w:rsidP="00FF509C">
            <w:r w:rsidRPr="006B1DE1">
              <w:t>To report the 2015/16 forecast financial position as at 3</w:t>
            </w:r>
            <w:r w:rsidR="00381232">
              <w:t>1</w:t>
            </w:r>
            <w:r w:rsidRPr="006B1DE1">
              <w:t xml:space="preserve"> </w:t>
            </w:r>
            <w:r w:rsidR="00381232">
              <w:t>December</w:t>
            </w:r>
            <w:r w:rsidRPr="006B1DE1">
              <w:t xml:space="preserve"> 2015</w:t>
            </w:r>
            <w:r w:rsidR="0096570D">
              <w:t xml:space="preserve"> and to seek approval for budget adjustments which require Cabinet approval under the Financial Regulations.</w:t>
            </w:r>
          </w:p>
          <w:p w:rsidR="00333FAA" w:rsidRDefault="00333FAA" w:rsidP="00A53B04">
            <w:pPr>
              <w:jc w:val="both"/>
              <w:rPr>
                <w:rFonts w:cs="Arial"/>
              </w:rPr>
            </w:pPr>
          </w:p>
        </w:tc>
      </w:tr>
    </w:tbl>
    <w:p w:rsidR="00741AEB" w:rsidRDefault="00741AEB" w:rsidP="00741AEB">
      <w:pPr>
        <w:pStyle w:val="Heading1"/>
      </w:pPr>
      <w:r w:rsidRPr="006B1DE1">
        <w:t>Section 2 – Report</w:t>
      </w:r>
    </w:p>
    <w:p w:rsidR="00E2312A" w:rsidRDefault="00E2312A" w:rsidP="00AF1127"/>
    <w:p w:rsidR="00E2312A" w:rsidRPr="00D52D46" w:rsidRDefault="00FA5D52" w:rsidP="00AF1127">
      <w:pPr>
        <w:keepNext/>
        <w:spacing w:after="240"/>
        <w:outlineLvl w:val="1"/>
        <w:rPr>
          <w:rFonts w:cs="Arial"/>
          <w:b/>
          <w:bCs/>
          <w:kern w:val="32"/>
          <w:sz w:val="28"/>
          <w:szCs w:val="28"/>
          <w:u w:val="single"/>
        </w:rPr>
      </w:pPr>
      <w:r w:rsidRPr="00D52D46">
        <w:rPr>
          <w:rFonts w:cs="Arial"/>
          <w:b/>
          <w:bCs/>
          <w:kern w:val="32"/>
          <w:sz w:val="28"/>
          <w:szCs w:val="28"/>
          <w:u w:val="single"/>
        </w:rPr>
        <w:t>INTRODUCTION</w:t>
      </w:r>
    </w:p>
    <w:p w:rsidR="00D52D46" w:rsidRPr="00D645B0" w:rsidRDefault="00FA5D52" w:rsidP="00AF1127">
      <w:pPr>
        <w:pStyle w:val="ListParagraph"/>
        <w:numPr>
          <w:ilvl w:val="0"/>
          <w:numId w:val="9"/>
        </w:numPr>
        <w:spacing w:after="240"/>
        <w:ind w:hanging="720"/>
      </w:pPr>
      <w:r w:rsidRPr="00D52D46">
        <w:t>The net forecast position</w:t>
      </w:r>
      <w:r w:rsidR="0041077E" w:rsidRPr="00D52D46">
        <w:t xml:space="preserve"> at Quarter </w:t>
      </w:r>
      <w:r w:rsidR="00381232">
        <w:t>3</w:t>
      </w:r>
      <w:r w:rsidR="0041077E" w:rsidRPr="00D52D46">
        <w:t xml:space="preserve"> on Revenue is for </w:t>
      </w:r>
      <w:proofErr w:type="gramStart"/>
      <w:r w:rsidR="00D52D46" w:rsidRPr="00D52D46">
        <w:t>an</w:t>
      </w:r>
      <w:r w:rsidR="0041077E" w:rsidRPr="00D52D46">
        <w:t xml:space="preserve"> overspend</w:t>
      </w:r>
      <w:proofErr w:type="gramEnd"/>
      <w:r w:rsidR="0041077E" w:rsidRPr="00D52D46">
        <w:t xml:space="preserve"> of £</w:t>
      </w:r>
      <w:r w:rsidR="00127264">
        <w:t>1.9</w:t>
      </w:r>
      <w:r w:rsidR="00D645B0">
        <w:t>28m</w:t>
      </w:r>
      <w:r w:rsidR="0041077E" w:rsidRPr="003D6C5E">
        <w:t xml:space="preserve"> </w:t>
      </w:r>
      <w:r w:rsidR="0041077E" w:rsidRPr="00D645B0">
        <w:t>on Directorate budgets</w:t>
      </w:r>
      <w:r w:rsidR="00D645B0" w:rsidRPr="00D645B0">
        <w:t>, after mitigating actions of £2.</w:t>
      </w:r>
      <w:r w:rsidR="008615DF">
        <w:t>625</w:t>
      </w:r>
      <w:r w:rsidR="00D645B0" w:rsidRPr="00D645B0">
        <w:t>m have been allowed for</w:t>
      </w:r>
      <w:r w:rsidR="00354BAA" w:rsidRPr="00D645B0">
        <w:t xml:space="preserve">. </w:t>
      </w:r>
      <w:r w:rsidR="000F0621" w:rsidRPr="00D645B0">
        <w:t xml:space="preserve">This </w:t>
      </w:r>
      <w:r w:rsidR="0041077E" w:rsidRPr="00D645B0">
        <w:t xml:space="preserve">reduces to </w:t>
      </w:r>
      <w:r w:rsidR="00935F3A" w:rsidRPr="00D645B0">
        <w:t>nil after assumed use of contingency of £0.</w:t>
      </w:r>
      <w:r w:rsidR="00D645B0" w:rsidRPr="00D645B0">
        <w:t>858</w:t>
      </w:r>
      <w:r w:rsidR="00935F3A" w:rsidRPr="00D645B0">
        <w:t>m and £</w:t>
      </w:r>
      <w:r w:rsidR="00D645B0" w:rsidRPr="00D645B0">
        <w:t>1.070m</w:t>
      </w:r>
      <w:r w:rsidR="00935F3A" w:rsidRPr="00D645B0">
        <w:t xml:space="preserve"> of savings on central budgets</w:t>
      </w:r>
      <w:r w:rsidR="00D07576" w:rsidRPr="00D645B0">
        <w:t>.</w:t>
      </w:r>
    </w:p>
    <w:p w:rsidR="00E2312A" w:rsidRPr="003D6C5E" w:rsidRDefault="0041077E" w:rsidP="00AF1127">
      <w:pPr>
        <w:pStyle w:val="ListParagraph"/>
        <w:numPr>
          <w:ilvl w:val="0"/>
          <w:numId w:val="9"/>
        </w:numPr>
        <w:spacing w:after="240"/>
        <w:ind w:hanging="720"/>
      </w:pPr>
      <w:r w:rsidRPr="003D6C5E">
        <w:t>The net forecast position on</w:t>
      </w:r>
      <w:r w:rsidR="003D6C5E" w:rsidRPr="003D6C5E">
        <w:t xml:space="preserve"> General Fund</w:t>
      </w:r>
      <w:r w:rsidRPr="003D6C5E">
        <w:t xml:space="preserve"> capital at Quarter </w:t>
      </w:r>
      <w:r w:rsidR="00381232">
        <w:t>3</w:t>
      </w:r>
      <w:r w:rsidRPr="003D6C5E">
        <w:t xml:space="preserve"> is for</w:t>
      </w:r>
      <w:r w:rsidR="003D6C5E" w:rsidRPr="003D6C5E">
        <w:t xml:space="preserve"> it to be under </w:t>
      </w:r>
      <w:r w:rsidR="003D6C5E" w:rsidRPr="003D460D">
        <w:t xml:space="preserve">budget by </w:t>
      </w:r>
      <w:r w:rsidRPr="003D460D">
        <w:t>£</w:t>
      </w:r>
      <w:r w:rsidR="003D6C5E" w:rsidRPr="003D460D">
        <w:t>2</w:t>
      </w:r>
      <w:r w:rsidR="003D460D" w:rsidRPr="003D460D">
        <w:t>8.992</w:t>
      </w:r>
      <w:r w:rsidR="003D6C5E" w:rsidRPr="003D460D">
        <w:t>m</w:t>
      </w:r>
      <w:r w:rsidRPr="003D460D">
        <w:t>, comprising of slippage of £</w:t>
      </w:r>
      <w:r w:rsidR="003D6C5E" w:rsidRPr="003D460D">
        <w:t>2</w:t>
      </w:r>
      <w:r w:rsidR="003D460D" w:rsidRPr="003D460D">
        <w:t>7.268</w:t>
      </w:r>
      <w:r w:rsidR="003D6C5E" w:rsidRPr="003D460D">
        <w:t>m</w:t>
      </w:r>
      <w:r w:rsidRPr="003D460D">
        <w:t xml:space="preserve"> and underspends of £</w:t>
      </w:r>
      <w:r w:rsidR="009D4C10" w:rsidRPr="003D460D">
        <w:t>1</w:t>
      </w:r>
      <w:r w:rsidR="003D6C5E" w:rsidRPr="003D460D">
        <w:t>.</w:t>
      </w:r>
      <w:r w:rsidR="003D460D" w:rsidRPr="003D460D">
        <w:t>724</w:t>
      </w:r>
      <w:r w:rsidR="003D6C5E" w:rsidRPr="003D460D">
        <w:t>m</w:t>
      </w:r>
      <w:r w:rsidRPr="003D460D">
        <w:t>.</w:t>
      </w:r>
      <w:r w:rsidR="003D6C5E" w:rsidRPr="003D460D">
        <w:t xml:space="preserve"> </w:t>
      </w:r>
      <w:r w:rsidR="008D67D6" w:rsidRPr="003D460D">
        <w:t xml:space="preserve">The forecast for HRA Capital is for spend to be under budget of </w:t>
      </w:r>
      <w:r w:rsidR="000773A9" w:rsidRPr="003D460D">
        <w:t>£</w:t>
      </w:r>
      <w:r w:rsidR="008D67D6" w:rsidRPr="003D460D">
        <w:t>1</w:t>
      </w:r>
      <w:r w:rsidR="006B58A7" w:rsidRPr="003D460D">
        <w:t>1.</w:t>
      </w:r>
      <w:r w:rsidR="003D460D" w:rsidRPr="003D460D">
        <w:t>975</w:t>
      </w:r>
      <w:r w:rsidR="008D67D6" w:rsidRPr="003D460D">
        <w:t xml:space="preserve">m, </w:t>
      </w:r>
      <w:r w:rsidR="003D460D" w:rsidRPr="003D460D">
        <w:t xml:space="preserve">which is all </w:t>
      </w:r>
      <w:r w:rsidR="008D67D6" w:rsidRPr="003D460D">
        <w:t>slippage</w:t>
      </w:r>
      <w:r w:rsidR="003D460D" w:rsidRPr="003D460D">
        <w:t>.</w:t>
      </w:r>
      <w:r w:rsidR="008D67D6" w:rsidRPr="003D6C5E">
        <w:t xml:space="preserve"> </w:t>
      </w:r>
    </w:p>
    <w:p w:rsidR="00741AEB" w:rsidRPr="006B1DE1" w:rsidRDefault="00741AEB" w:rsidP="00741AEB">
      <w:pPr>
        <w:keepNext/>
        <w:outlineLvl w:val="1"/>
        <w:rPr>
          <w:rFonts w:cs="Arial"/>
          <w:b/>
          <w:bCs/>
          <w:kern w:val="32"/>
          <w:sz w:val="28"/>
          <w:szCs w:val="28"/>
          <w:u w:val="single"/>
        </w:rPr>
      </w:pPr>
      <w:r w:rsidRPr="006B1DE1">
        <w:rPr>
          <w:rFonts w:cs="Arial"/>
          <w:b/>
          <w:bCs/>
          <w:kern w:val="32"/>
          <w:sz w:val="28"/>
          <w:szCs w:val="28"/>
          <w:u w:val="single"/>
        </w:rPr>
        <w:t>REVENUE MONITORING</w:t>
      </w:r>
    </w:p>
    <w:p w:rsidR="00741AEB" w:rsidRPr="006B1DE1" w:rsidRDefault="00741AEB" w:rsidP="00741AEB">
      <w:pPr>
        <w:keepNext/>
        <w:outlineLvl w:val="1"/>
        <w:rPr>
          <w:rFonts w:cs="Arial"/>
          <w:b/>
          <w:bCs/>
          <w:kern w:val="32"/>
          <w:sz w:val="28"/>
          <w:szCs w:val="28"/>
        </w:rPr>
      </w:pPr>
    </w:p>
    <w:p w:rsidR="00741AEB" w:rsidRPr="006B1DE1" w:rsidRDefault="00C801D4" w:rsidP="00AF1127">
      <w:pPr>
        <w:pStyle w:val="ListParagraph"/>
        <w:numPr>
          <w:ilvl w:val="0"/>
          <w:numId w:val="9"/>
        </w:numPr>
        <w:spacing w:after="240"/>
        <w:ind w:hanging="720"/>
        <w:jc w:val="both"/>
      </w:pPr>
      <w:r>
        <w:t xml:space="preserve">The Quarter </w:t>
      </w:r>
      <w:r w:rsidR="00381232">
        <w:t>3</w:t>
      </w:r>
      <w:r w:rsidR="00935F3A">
        <w:t xml:space="preserve"> forecast indicates </w:t>
      </w:r>
      <w:r w:rsidR="00B35477">
        <w:t>a directorate overspend of £</w:t>
      </w:r>
      <w:r w:rsidR="00354BAA">
        <w:t>1.92</w:t>
      </w:r>
      <w:r w:rsidR="00D645B0">
        <w:t>8</w:t>
      </w:r>
      <w:r w:rsidR="00354BAA">
        <w:t>m</w:t>
      </w:r>
      <w:r w:rsidR="00B35477">
        <w:t xml:space="preserve">. </w:t>
      </w:r>
      <w:r w:rsidR="00354BAA">
        <w:t>This is after having taken mitigating actions of</w:t>
      </w:r>
      <w:r w:rsidR="00B35477">
        <w:t xml:space="preserve"> £2.</w:t>
      </w:r>
      <w:r w:rsidR="008615DF">
        <w:t>625</w:t>
      </w:r>
      <w:r w:rsidR="00B35477">
        <w:t xml:space="preserve">m </w:t>
      </w:r>
      <w:r w:rsidR="00354BAA">
        <w:t xml:space="preserve">as identified in the </w:t>
      </w:r>
      <w:r w:rsidR="00354BAA" w:rsidRPr="00D645B0">
        <w:t xml:space="preserve">Quarter 2 report to December Cabinet. </w:t>
      </w:r>
      <w:r w:rsidR="00B35477" w:rsidRPr="00D645B0">
        <w:t xml:space="preserve">Corporate savings of </w:t>
      </w:r>
      <w:r w:rsidR="00127264">
        <w:t>£</w:t>
      </w:r>
      <w:r w:rsidR="00D645B0" w:rsidRPr="00D645B0">
        <w:t>1.070</w:t>
      </w:r>
      <w:r w:rsidR="00B35477" w:rsidRPr="00D645B0">
        <w:t>m have been identified and these taken together with an assumed use of the corporate contingency of £0.</w:t>
      </w:r>
      <w:r w:rsidR="00D645B0" w:rsidRPr="00D645B0">
        <w:t>858</w:t>
      </w:r>
      <w:r w:rsidR="00B35477" w:rsidRPr="00D645B0">
        <w:t>m enable a balanced position to be achieved.</w:t>
      </w:r>
      <w:r w:rsidR="00B35477">
        <w:t xml:space="preserve"> </w:t>
      </w:r>
      <w:r w:rsidR="00A10BDE">
        <w:t xml:space="preserve">The balanced position is achieved with £4.6m of one off </w:t>
      </w:r>
      <w:proofErr w:type="gramStart"/>
      <w:r w:rsidR="00A10BDE">
        <w:t>mitigations,</w:t>
      </w:r>
      <w:proofErr w:type="gramEnd"/>
      <w:r w:rsidR="00A10BDE">
        <w:t xml:space="preserve"> mainly the use of earmarked reserves and other income and directorates continue to seek further on-going mitigating actions. </w:t>
      </w:r>
    </w:p>
    <w:p w:rsidR="00741AEB" w:rsidRPr="006B1DE1" w:rsidRDefault="00741AEB" w:rsidP="00AF1127">
      <w:pPr>
        <w:pStyle w:val="ListParagraph"/>
        <w:numPr>
          <w:ilvl w:val="0"/>
          <w:numId w:val="9"/>
        </w:numPr>
        <w:ind w:hanging="720"/>
        <w:jc w:val="both"/>
      </w:pPr>
      <w:r w:rsidRPr="006B1DE1">
        <w:lastRenderedPageBreak/>
        <w:t>Cabinet agreed in</w:t>
      </w:r>
      <w:r w:rsidR="00D645B0">
        <w:t>-</w:t>
      </w:r>
      <w:r w:rsidRPr="006B1DE1">
        <w:t xml:space="preserve">year savings of £2.468m in July for implementation with immediate effect.  The savings were agreed to contribute £1m each to reserves for Welfare Reform/ Homelessness and for Commercialisation and £468k to the MTFS implementation reserve. The variances now reported allow for these savings being achieved in full. Table 1 below summarises the Quarter </w:t>
      </w:r>
      <w:r w:rsidR="00381232">
        <w:t>3</w:t>
      </w:r>
      <w:r w:rsidRPr="006B1DE1">
        <w:t xml:space="preserve"> revenue position and Appendix 1 provides more detail:</w:t>
      </w:r>
    </w:p>
    <w:p w:rsidR="00741AEB" w:rsidRPr="006B1DE1" w:rsidRDefault="00741AEB" w:rsidP="00741AEB">
      <w:pPr>
        <w:rPr>
          <w:rFonts w:cs="Arial"/>
          <w:szCs w:val="24"/>
        </w:rPr>
      </w:pPr>
    </w:p>
    <w:p w:rsidR="00741AEB" w:rsidRDefault="00741AEB" w:rsidP="00BB7370">
      <w:pPr>
        <w:rPr>
          <w:rFonts w:cs="Arial"/>
          <w:b/>
          <w:u w:val="single"/>
        </w:rPr>
      </w:pPr>
      <w:r w:rsidRPr="006B1DE1">
        <w:rPr>
          <w:rFonts w:cs="Arial"/>
          <w:b/>
          <w:u w:val="single"/>
        </w:rPr>
        <w:t xml:space="preserve">Table 1: Revenue Monitoring – Quarter </w:t>
      </w:r>
      <w:r w:rsidR="00381232">
        <w:rPr>
          <w:rFonts w:cs="Arial"/>
          <w:b/>
          <w:u w:val="single"/>
        </w:rPr>
        <w:t>3</w:t>
      </w:r>
      <w:r w:rsidRPr="006B1DE1">
        <w:rPr>
          <w:rFonts w:cs="Arial"/>
          <w:b/>
          <w:u w:val="single"/>
        </w:rPr>
        <w:t xml:space="preserve"> 2015/16 </w:t>
      </w:r>
    </w:p>
    <w:p w:rsidR="00094E7B" w:rsidRDefault="00BD596A" w:rsidP="00BB7370">
      <w:pPr>
        <w:rPr>
          <w:rFonts w:cs="Arial"/>
          <w:b/>
          <w:u w:val="single"/>
        </w:rPr>
      </w:pPr>
      <w:r w:rsidRPr="00BD596A">
        <w:rPr>
          <w:noProof/>
          <w:lang w:eastAsia="en-GB"/>
        </w:rPr>
        <w:drawing>
          <wp:inline distT="0" distB="0" distL="0" distR="0" wp14:anchorId="4EBAC633" wp14:editId="6E526552">
            <wp:extent cx="5276215" cy="1789193"/>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215" cy="1789193"/>
                    </a:xfrm>
                    <a:prstGeom prst="rect">
                      <a:avLst/>
                    </a:prstGeom>
                    <a:noFill/>
                    <a:ln>
                      <a:noFill/>
                    </a:ln>
                  </pic:spPr>
                </pic:pic>
              </a:graphicData>
            </a:graphic>
          </wp:inline>
        </w:drawing>
      </w:r>
    </w:p>
    <w:p w:rsidR="00094E7B" w:rsidRDefault="00094E7B" w:rsidP="00BB7370">
      <w:pPr>
        <w:rPr>
          <w:rFonts w:cs="Arial"/>
          <w:b/>
          <w:u w:val="single"/>
        </w:rPr>
      </w:pPr>
    </w:p>
    <w:p w:rsidR="00741AEB" w:rsidRPr="00A50259" w:rsidRDefault="00741AEB" w:rsidP="00C6530C">
      <w:pPr>
        <w:spacing w:after="240"/>
        <w:ind w:right="488"/>
        <w:jc w:val="both"/>
      </w:pPr>
      <w:r w:rsidRPr="00C6530C">
        <w:rPr>
          <w:b/>
        </w:rPr>
        <w:t>RESOURCES</w:t>
      </w:r>
      <w:r w:rsidR="00CF1B0C" w:rsidRPr="00C6530C">
        <w:rPr>
          <w:b/>
        </w:rPr>
        <w:t xml:space="preserve"> &amp; COMMERCIAL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1985"/>
      </w:tblGrid>
      <w:tr w:rsidR="00D645B0" w:rsidRPr="00CB1A89" w:rsidTr="00D645B0">
        <w:tc>
          <w:tcPr>
            <w:tcW w:w="1984" w:type="dxa"/>
            <w:shd w:val="clear" w:color="auto" w:fill="auto"/>
          </w:tcPr>
          <w:p w:rsidR="00D645B0" w:rsidRPr="00CB1A89" w:rsidRDefault="00D645B0" w:rsidP="00D645B0">
            <w:pPr>
              <w:jc w:val="center"/>
              <w:rPr>
                <w:rFonts w:cs="Arial"/>
                <w:szCs w:val="24"/>
              </w:rPr>
            </w:pPr>
            <w:r w:rsidRPr="00CB1A89">
              <w:rPr>
                <w:rFonts w:cs="Arial"/>
                <w:szCs w:val="24"/>
              </w:rPr>
              <w:t>Q2 (to 30.9.15)</w:t>
            </w:r>
          </w:p>
          <w:p w:rsidR="00D645B0" w:rsidRPr="00CB1A89" w:rsidRDefault="00D645B0" w:rsidP="00D645B0">
            <w:pPr>
              <w:jc w:val="center"/>
              <w:rPr>
                <w:rFonts w:cs="Arial"/>
                <w:szCs w:val="24"/>
              </w:rPr>
            </w:pPr>
            <w:r w:rsidRPr="00CB1A89">
              <w:rPr>
                <w:rFonts w:cs="Arial"/>
                <w:szCs w:val="24"/>
              </w:rPr>
              <w:t xml:space="preserve">Variance </w:t>
            </w:r>
          </w:p>
          <w:p w:rsidR="00D645B0" w:rsidRPr="00CB1A89" w:rsidRDefault="00D645B0" w:rsidP="00D645B0">
            <w:pPr>
              <w:jc w:val="center"/>
              <w:rPr>
                <w:rFonts w:cs="Arial"/>
                <w:szCs w:val="24"/>
              </w:rPr>
            </w:pPr>
            <w:r w:rsidRPr="00CB1A89">
              <w:rPr>
                <w:rFonts w:cs="Arial"/>
                <w:szCs w:val="24"/>
              </w:rPr>
              <w:t>£000</w:t>
            </w:r>
          </w:p>
        </w:tc>
        <w:tc>
          <w:tcPr>
            <w:tcW w:w="2126" w:type="dxa"/>
            <w:shd w:val="clear" w:color="auto" w:fill="auto"/>
          </w:tcPr>
          <w:p w:rsidR="00D645B0" w:rsidRPr="00CB1A89" w:rsidRDefault="00D645B0" w:rsidP="00D645B0">
            <w:pPr>
              <w:jc w:val="center"/>
              <w:rPr>
                <w:rFonts w:cs="Arial"/>
                <w:szCs w:val="24"/>
              </w:rPr>
            </w:pPr>
            <w:r w:rsidRPr="00CB1A89">
              <w:rPr>
                <w:rFonts w:cs="Arial"/>
                <w:szCs w:val="24"/>
              </w:rPr>
              <w:t>Q3 (to 31.12.15)</w:t>
            </w:r>
          </w:p>
          <w:p w:rsidR="00D645B0" w:rsidRPr="00CB1A89" w:rsidRDefault="00D645B0" w:rsidP="00D645B0">
            <w:pPr>
              <w:jc w:val="center"/>
              <w:rPr>
                <w:rFonts w:cs="Arial"/>
                <w:szCs w:val="24"/>
              </w:rPr>
            </w:pPr>
            <w:r w:rsidRPr="00CB1A89">
              <w:rPr>
                <w:rFonts w:cs="Arial"/>
                <w:szCs w:val="24"/>
              </w:rPr>
              <w:t>Variance</w:t>
            </w:r>
          </w:p>
          <w:p w:rsidR="00D645B0" w:rsidRPr="00CB1A89" w:rsidRDefault="00D645B0" w:rsidP="00D645B0">
            <w:pPr>
              <w:jc w:val="center"/>
              <w:rPr>
                <w:rFonts w:cs="Arial"/>
                <w:szCs w:val="24"/>
              </w:rPr>
            </w:pPr>
            <w:r w:rsidRPr="00CB1A89">
              <w:rPr>
                <w:rFonts w:cs="Arial"/>
                <w:szCs w:val="24"/>
              </w:rPr>
              <w:t>£000</w:t>
            </w:r>
          </w:p>
        </w:tc>
        <w:tc>
          <w:tcPr>
            <w:tcW w:w="1985" w:type="dxa"/>
            <w:shd w:val="clear" w:color="auto" w:fill="auto"/>
          </w:tcPr>
          <w:p w:rsidR="00D645B0" w:rsidRPr="00CB1A89" w:rsidRDefault="00D645B0" w:rsidP="00D645B0">
            <w:pPr>
              <w:jc w:val="center"/>
              <w:rPr>
                <w:rFonts w:cs="Arial"/>
                <w:szCs w:val="24"/>
              </w:rPr>
            </w:pPr>
            <w:r w:rsidRPr="00CB1A89">
              <w:rPr>
                <w:rFonts w:cs="Arial"/>
                <w:szCs w:val="24"/>
              </w:rPr>
              <w:t>Movement</w:t>
            </w:r>
          </w:p>
          <w:p w:rsidR="00D645B0" w:rsidRPr="00CB1A89" w:rsidRDefault="00D645B0" w:rsidP="00D645B0">
            <w:pPr>
              <w:jc w:val="center"/>
              <w:rPr>
                <w:rFonts w:cs="Arial"/>
                <w:szCs w:val="24"/>
              </w:rPr>
            </w:pPr>
          </w:p>
          <w:p w:rsidR="00D645B0" w:rsidRPr="00CB1A89" w:rsidRDefault="00D645B0" w:rsidP="00D645B0">
            <w:pPr>
              <w:jc w:val="center"/>
              <w:rPr>
                <w:rFonts w:cs="Arial"/>
                <w:szCs w:val="24"/>
              </w:rPr>
            </w:pPr>
            <w:r w:rsidRPr="00CB1A89">
              <w:rPr>
                <w:rFonts w:cs="Arial"/>
                <w:szCs w:val="24"/>
              </w:rPr>
              <w:t>£000</w:t>
            </w:r>
          </w:p>
        </w:tc>
      </w:tr>
      <w:tr w:rsidR="00D645B0" w:rsidRPr="00CB1A89" w:rsidTr="00D645B0">
        <w:tc>
          <w:tcPr>
            <w:tcW w:w="1984" w:type="dxa"/>
            <w:shd w:val="clear" w:color="auto" w:fill="auto"/>
          </w:tcPr>
          <w:p w:rsidR="00D645B0" w:rsidRPr="00CB1A89" w:rsidRDefault="00D645B0" w:rsidP="00D645B0">
            <w:pPr>
              <w:jc w:val="center"/>
              <w:rPr>
                <w:rFonts w:cs="Arial"/>
                <w:szCs w:val="24"/>
              </w:rPr>
            </w:pPr>
            <w:r w:rsidRPr="00CB1A89">
              <w:rPr>
                <w:rFonts w:cs="Arial"/>
                <w:szCs w:val="24"/>
              </w:rPr>
              <w:t>(</w:t>
            </w:r>
            <w:r>
              <w:rPr>
                <w:rFonts w:cs="Arial"/>
                <w:szCs w:val="24"/>
              </w:rPr>
              <w:t>43</w:t>
            </w:r>
            <w:r w:rsidRPr="00CB1A89">
              <w:rPr>
                <w:rFonts w:cs="Arial"/>
                <w:szCs w:val="24"/>
              </w:rPr>
              <w:t>)</w:t>
            </w:r>
          </w:p>
        </w:tc>
        <w:tc>
          <w:tcPr>
            <w:tcW w:w="2126" w:type="dxa"/>
            <w:shd w:val="clear" w:color="auto" w:fill="auto"/>
          </w:tcPr>
          <w:p w:rsidR="00D645B0" w:rsidRPr="00CB1A89" w:rsidRDefault="00D645B0" w:rsidP="00D645B0">
            <w:pPr>
              <w:jc w:val="center"/>
              <w:rPr>
                <w:rFonts w:cs="Arial"/>
                <w:szCs w:val="24"/>
              </w:rPr>
            </w:pPr>
            <w:r>
              <w:rPr>
                <w:rFonts w:cs="Arial"/>
                <w:szCs w:val="24"/>
              </w:rPr>
              <w:t>14</w:t>
            </w:r>
          </w:p>
        </w:tc>
        <w:tc>
          <w:tcPr>
            <w:tcW w:w="1985" w:type="dxa"/>
            <w:shd w:val="clear" w:color="auto" w:fill="auto"/>
          </w:tcPr>
          <w:p w:rsidR="00D645B0" w:rsidRPr="00CB1A89" w:rsidRDefault="00D645B0" w:rsidP="00D645B0">
            <w:pPr>
              <w:jc w:val="center"/>
              <w:rPr>
                <w:rFonts w:cs="Arial"/>
                <w:szCs w:val="24"/>
              </w:rPr>
            </w:pPr>
            <w:r>
              <w:rPr>
                <w:rFonts w:cs="Arial"/>
                <w:szCs w:val="24"/>
              </w:rPr>
              <w:t>57</w:t>
            </w:r>
          </w:p>
        </w:tc>
      </w:tr>
    </w:tbl>
    <w:p w:rsidR="00D645B0" w:rsidRPr="00D645B0" w:rsidRDefault="00D645B0" w:rsidP="00D645B0"/>
    <w:p w:rsidR="000F0252" w:rsidRDefault="000F0252" w:rsidP="000F0252">
      <w:pPr>
        <w:pStyle w:val="ListParagraph"/>
        <w:numPr>
          <w:ilvl w:val="0"/>
          <w:numId w:val="9"/>
        </w:numPr>
        <w:spacing w:after="240"/>
        <w:ind w:hanging="720"/>
        <w:rPr>
          <w:rFonts w:cs="Arial"/>
          <w:bCs/>
          <w:szCs w:val="24"/>
        </w:rPr>
      </w:pPr>
      <w:bookmarkStart w:id="0" w:name="_Toc372706214"/>
      <w:r w:rsidRPr="000F0252">
        <w:rPr>
          <w:rFonts w:cs="Arial"/>
          <w:bCs/>
          <w:szCs w:val="24"/>
        </w:rPr>
        <w:t>At quarter 3, Resources is forecasting to overspend by £14k, this is an adverse movement of £58k compared to quarter 2. The main reasons are salary cost</w:t>
      </w:r>
      <w:r w:rsidR="00127264">
        <w:rPr>
          <w:rFonts w:cs="Arial"/>
          <w:bCs/>
          <w:szCs w:val="24"/>
        </w:rPr>
        <w:t>s</w:t>
      </w:r>
      <w:r w:rsidRPr="000F0252">
        <w:rPr>
          <w:rFonts w:cs="Arial"/>
          <w:bCs/>
          <w:szCs w:val="24"/>
        </w:rPr>
        <w:t xml:space="preserve"> which cannot be capitalised in B</w:t>
      </w:r>
      <w:r w:rsidR="00127264">
        <w:rPr>
          <w:rFonts w:cs="Arial"/>
          <w:bCs/>
          <w:szCs w:val="24"/>
        </w:rPr>
        <w:t xml:space="preserve">usiness </w:t>
      </w:r>
      <w:r w:rsidRPr="000F0252">
        <w:rPr>
          <w:rFonts w:cs="Arial"/>
          <w:bCs/>
          <w:szCs w:val="24"/>
        </w:rPr>
        <w:t>T</w:t>
      </w:r>
      <w:r w:rsidR="00127264">
        <w:rPr>
          <w:rFonts w:cs="Arial"/>
          <w:bCs/>
          <w:szCs w:val="24"/>
        </w:rPr>
        <w:t xml:space="preserve">ransformation </w:t>
      </w:r>
      <w:r w:rsidRPr="000F0252">
        <w:rPr>
          <w:rFonts w:cs="Arial"/>
          <w:bCs/>
          <w:szCs w:val="24"/>
        </w:rPr>
        <w:t>P</w:t>
      </w:r>
      <w:r w:rsidR="00127264">
        <w:rPr>
          <w:rFonts w:cs="Arial"/>
          <w:bCs/>
          <w:szCs w:val="24"/>
        </w:rPr>
        <w:t>roject</w:t>
      </w:r>
      <w:r w:rsidRPr="000F0252">
        <w:rPr>
          <w:rFonts w:cs="Arial"/>
          <w:bCs/>
          <w:szCs w:val="24"/>
        </w:rPr>
        <w:t xml:space="preserve"> Client team (£83k), </w:t>
      </w:r>
      <w:r w:rsidR="00127264">
        <w:rPr>
          <w:rFonts w:cs="Arial"/>
          <w:bCs/>
          <w:szCs w:val="24"/>
        </w:rPr>
        <w:t xml:space="preserve">reduced availability </w:t>
      </w:r>
      <w:r w:rsidR="00DE1242">
        <w:rPr>
          <w:rFonts w:cs="Arial"/>
          <w:bCs/>
          <w:szCs w:val="24"/>
        </w:rPr>
        <w:t xml:space="preserve">of </w:t>
      </w:r>
      <w:r w:rsidR="00DE1242" w:rsidRPr="000F0252">
        <w:rPr>
          <w:rFonts w:cs="Arial"/>
          <w:bCs/>
          <w:szCs w:val="24"/>
        </w:rPr>
        <w:t>Sopra</w:t>
      </w:r>
      <w:r w:rsidRPr="000F0252">
        <w:rPr>
          <w:rFonts w:cs="Arial"/>
          <w:bCs/>
          <w:szCs w:val="24"/>
        </w:rPr>
        <w:t xml:space="preserve"> Steria </w:t>
      </w:r>
      <w:r w:rsidR="00127264">
        <w:rPr>
          <w:rFonts w:cs="Arial"/>
          <w:bCs/>
          <w:szCs w:val="24"/>
        </w:rPr>
        <w:t xml:space="preserve">transition </w:t>
      </w:r>
      <w:r w:rsidRPr="000F0252">
        <w:rPr>
          <w:rFonts w:cs="Arial"/>
          <w:bCs/>
          <w:szCs w:val="24"/>
        </w:rPr>
        <w:t xml:space="preserve">reserve (£90k), payment for disaster </w:t>
      </w:r>
      <w:r w:rsidR="0031185B">
        <w:rPr>
          <w:rFonts w:cs="Arial"/>
          <w:bCs/>
          <w:szCs w:val="24"/>
        </w:rPr>
        <w:t>recovery to Sopra Steria (£40k) and</w:t>
      </w:r>
      <w:r w:rsidRPr="000F0252">
        <w:rPr>
          <w:rFonts w:cs="Arial"/>
          <w:bCs/>
          <w:szCs w:val="24"/>
        </w:rPr>
        <w:t xml:space="preserve"> running </w:t>
      </w:r>
      <w:r>
        <w:rPr>
          <w:rFonts w:cs="Arial"/>
          <w:bCs/>
          <w:szCs w:val="24"/>
        </w:rPr>
        <w:t xml:space="preserve">costs of a </w:t>
      </w:r>
      <w:r w:rsidRPr="000F0252">
        <w:rPr>
          <w:rFonts w:cs="Arial"/>
          <w:bCs/>
          <w:szCs w:val="24"/>
        </w:rPr>
        <w:t>new learning management system (£36k)</w:t>
      </w:r>
      <w:r>
        <w:rPr>
          <w:rFonts w:cs="Arial"/>
          <w:bCs/>
          <w:szCs w:val="24"/>
        </w:rPr>
        <w:t>.</w:t>
      </w:r>
    </w:p>
    <w:p w:rsidR="000F0252" w:rsidRDefault="000F0252" w:rsidP="000F0252">
      <w:pPr>
        <w:pStyle w:val="ListParagraph"/>
        <w:numPr>
          <w:ilvl w:val="0"/>
          <w:numId w:val="9"/>
        </w:numPr>
        <w:spacing w:after="240"/>
        <w:ind w:hanging="720"/>
        <w:rPr>
          <w:rFonts w:cs="Arial"/>
          <w:bCs/>
          <w:szCs w:val="24"/>
        </w:rPr>
      </w:pPr>
      <w:r w:rsidRPr="000F0252">
        <w:rPr>
          <w:rFonts w:cs="Arial"/>
          <w:bCs/>
          <w:szCs w:val="24"/>
        </w:rPr>
        <w:t xml:space="preserve">The above is mitigated by </w:t>
      </w:r>
      <w:r w:rsidR="00127264">
        <w:rPr>
          <w:rFonts w:cs="Arial"/>
          <w:bCs/>
          <w:szCs w:val="24"/>
        </w:rPr>
        <w:t xml:space="preserve">a </w:t>
      </w:r>
      <w:r w:rsidRPr="000F0252">
        <w:rPr>
          <w:rFonts w:cs="Arial"/>
          <w:bCs/>
          <w:szCs w:val="24"/>
        </w:rPr>
        <w:t>reduction in bad debt provision for over payment for Housing benefit (£50k)</w:t>
      </w:r>
      <w:r w:rsidR="00127264">
        <w:rPr>
          <w:rFonts w:cs="Arial"/>
          <w:bCs/>
          <w:szCs w:val="24"/>
        </w:rPr>
        <w:t>, backdated</w:t>
      </w:r>
      <w:r w:rsidRPr="000F0252">
        <w:rPr>
          <w:rFonts w:cs="Arial"/>
          <w:bCs/>
          <w:szCs w:val="24"/>
        </w:rPr>
        <w:t xml:space="preserve"> trade union</w:t>
      </w:r>
      <w:r w:rsidR="00127264">
        <w:rPr>
          <w:rFonts w:cs="Arial"/>
          <w:bCs/>
          <w:szCs w:val="24"/>
        </w:rPr>
        <w:t xml:space="preserve"> check off admin fees</w:t>
      </w:r>
      <w:r w:rsidRPr="000F0252">
        <w:rPr>
          <w:rFonts w:cs="Arial"/>
          <w:bCs/>
          <w:szCs w:val="24"/>
        </w:rPr>
        <w:t xml:space="preserve"> (£58k), additional income by Sims team (£25k) additional contribution to overheads from Harrow </w:t>
      </w:r>
      <w:r w:rsidR="003D460D">
        <w:rPr>
          <w:rFonts w:cs="Arial"/>
          <w:bCs/>
          <w:szCs w:val="24"/>
        </w:rPr>
        <w:t xml:space="preserve">and </w:t>
      </w:r>
      <w:r w:rsidRPr="000F0252">
        <w:rPr>
          <w:rFonts w:cs="Arial"/>
          <w:bCs/>
          <w:szCs w:val="24"/>
        </w:rPr>
        <w:t>Barnet Public Law shared services (£26k) vacancy freeze in Human Resources whilst exploring shared service options (£17k) and printing true up income (£13k).</w:t>
      </w:r>
    </w:p>
    <w:p w:rsidR="00E81CDB" w:rsidRDefault="00E81CDB" w:rsidP="000F0252">
      <w:pPr>
        <w:pStyle w:val="ListParagraph"/>
        <w:numPr>
          <w:ilvl w:val="0"/>
          <w:numId w:val="9"/>
        </w:numPr>
        <w:spacing w:after="240"/>
        <w:ind w:hanging="720"/>
        <w:rPr>
          <w:rFonts w:cs="Arial"/>
          <w:bCs/>
          <w:szCs w:val="24"/>
        </w:rPr>
      </w:pPr>
      <w:r>
        <w:rPr>
          <w:rFonts w:cs="Arial"/>
          <w:bCs/>
          <w:szCs w:val="24"/>
        </w:rPr>
        <w:t>Following the ending of the IT contract with Capita, end of contract commercial exit negotiations are underway.</w:t>
      </w:r>
      <w:r w:rsidR="00EB2DA7">
        <w:rPr>
          <w:rFonts w:cs="Arial"/>
          <w:bCs/>
          <w:szCs w:val="24"/>
        </w:rPr>
        <w:t xml:space="preserve"> </w:t>
      </w:r>
      <w:r w:rsidR="00EB2DA7">
        <w:rPr>
          <w:rFonts w:cs="Arial"/>
        </w:rPr>
        <w:t>The results of which are not factored into the forecast.</w:t>
      </w:r>
    </w:p>
    <w:bookmarkEnd w:id="0"/>
    <w:p w:rsidR="00741AEB" w:rsidRDefault="00AF6F1B" w:rsidP="00741AEB">
      <w:pPr>
        <w:pStyle w:val="Heading4"/>
        <w:spacing w:after="120"/>
      </w:pPr>
      <w:r>
        <w:t>COMMUNITY</w:t>
      </w:r>
      <w:r w:rsidR="002C672F">
        <w:t xml:space="preserve"> DIRECTORATE</w:t>
      </w:r>
    </w:p>
    <w:p w:rsidR="00351735" w:rsidRDefault="00351735" w:rsidP="00351735">
      <w:pPr>
        <w:numPr>
          <w:ilvl w:val="0"/>
          <w:numId w:val="9"/>
        </w:numPr>
        <w:ind w:hanging="720"/>
      </w:pPr>
      <w:r w:rsidRPr="00351735">
        <w:t xml:space="preserve">At Quarter </w:t>
      </w:r>
      <w:r w:rsidR="00CB1A89">
        <w:t>3</w:t>
      </w:r>
      <w:r w:rsidRPr="00351735">
        <w:t xml:space="preserve"> t</w:t>
      </w:r>
      <w:r>
        <w:t>he Community Directorate is fore</w:t>
      </w:r>
      <w:r w:rsidRPr="00351735">
        <w:t xml:space="preserve">casting </w:t>
      </w:r>
      <w:proofErr w:type="gramStart"/>
      <w:r>
        <w:t>an overspend</w:t>
      </w:r>
      <w:proofErr w:type="gramEnd"/>
      <w:r>
        <w:t xml:space="preserve"> of £</w:t>
      </w:r>
      <w:r w:rsidR="00CB1A89">
        <w:t>1.058m</w:t>
      </w:r>
      <w:r>
        <w:t xml:space="preserve"> compared to </w:t>
      </w:r>
      <w:r w:rsidR="00CB1A89">
        <w:t xml:space="preserve">£0.852m at </w:t>
      </w:r>
      <w:r>
        <w:t xml:space="preserve">Quarter </w:t>
      </w:r>
      <w:r w:rsidR="00CB1A89">
        <w:t>2</w:t>
      </w:r>
      <w:r>
        <w:t>, a</w:t>
      </w:r>
      <w:r w:rsidR="00CB1A89">
        <w:t>n increase</w:t>
      </w:r>
      <w:r>
        <w:t xml:space="preserve"> in overspend of </w:t>
      </w:r>
      <w:r w:rsidR="002E5AF5">
        <w:t>£</w:t>
      </w:r>
      <w:r w:rsidR="00CB1A89">
        <w:t>206k</w:t>
      </w:r>
      <w:r w:rsidR="002E5AF5">
        <w:t>.</w:t>
      </w:r>
    </w:p>
    <w:p w:rsidR="008615DF" w:rsidRDefault="008615DF">
      <w:r>
        <w:br w:type="page"/>
      </w:r>
    </w:p>
    <w:p w:rsidR="008615DF" w:rsidRDefault="008615DF" w:rsidP="00C6530C"/>
    <w:p w:rsidR="00127264" w:rsidRDefault="00127264" w:rsidP="0012726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92"/>
        <w:gridCol w:w="1588"/>
        <w:gridCol w:w="1596"/>
        <w:gridCol w:w="1364"/>
      </w:tblGrid>
      <w:tr w:rsidR="008615DF" w:rsidRPr="00CB1A89" w:rsidTr="00C6530C">
        <w:tc>
          <w:tcPr>
            <w:tcW w:w="1435" w:type="dxa"/>
          </w:tcPr>
          <w:p w:rsidR="008615DF" w:rsidRPr="00CB1A89" w:rsidRDefault="008615DF" w:rsidP="00127264">
            <w:pPr>
              <w:jc w:val="center"/>
              <w:rPr>
                <w:rFonts w:cs="Arial"/>
                <w:szCs w:val="24"/>
              </w:rPr>
            </w:pPr>
          </w:p>
        </w:tc>
        <w:tc>
          <w:tcPr>
            <w:tcW w:w="1549" w:type="dxa"/>
            <w:shd w:val="clear" w:color="auto" w:fill="auto"/>
          </w:tcPr>
          <w:p w:rsidR="008615DF" w:rsidRPr="00CB1A89" w:rsidRDefault="008615DF" w:rsidP="00127264">
            <w:pPr>
              <w:jc w:val="center"/>
              <w:rPr>
                <w:rFonts w:cs="Arial"/>
                <w:szCs w:val="24"/>
              </w:rPr>
            </w:pPr>
            <w:r w:rsidRPr="00CB1A89">
              <w:rPr>
                <w:rFonts w:cs="Arial"/>
                <w:szCs w:val="24"/>
              </w:rPr>
              <w:t>Q2 (to 30.9.15)</w:t>
            </w:r>
          </w:p>
          <w:p w:rsidR="008615DF" w:rsidRPr="00CB1A89" w:rsidRDefault="008615DF" w:rsidP="00127264">
            <w:pPr>
              <w:jc w:val="center"/>
              <w:rPr>
                <w:rFonts w:cs="Arial"/>
                <w:szCs w:val="24"/>
              </w:rPr>
            </w:pPr>
            <w:r w:rsidRPr="00CB1A89">
              <w:rPr>
                <w:rFonts w:cs="Arial"/>
                <w:szCs w:val="24"/>
              </w:rPr>
              <w:t xml:space="preserve">Variance </w:t>
            </w:r>
          </w:p>
          <w:p w:rsidR="008615DF" w:rsidRPr="00CB1A89" w:rsidRDefault="008615DF" w:rsidP="00127264">
            <w:pPr>
              <w:jc w:val="center"/>
              <w:rPr>
                <w:rFonts w:cs="Arial"/>
                <w:szCs w:val="24"/>
              </w:rPr>
            </w:pPr>
            <w:r w:rsidRPr="00CB1A89">
              <w:rPr>
                <w:rFonts w:cs="Arial"/>
                <w:szCs w:val="24"/>
              </w:rPr>
              <w:t>£000</w:t>
            </w:r>
          </w:p>
        </w:tc>
        <w:tc>
          <w:tcPr>
            <w:tcW w:w="1651" w:type="dxa"/>
            <w:shd w:val="clear" w:color="auto" w:fill="auto"/>
          </w:tcPr>
          <w:p w:rsidR="008615DF" w:rsidRPr="00CB1A89" w:rsidRDefault="008615DF" w:rsidP="00127264">
            <w:pPr>
              <w:jc w:val="center"/>
              <w:rPr>
                <w:rFonts w:cs="Arial"/>
                <w:szCs w:val="24"/>
              </w:rPr>
            </w:pPr>
            <w:r w:rsidRPr="00CB1A89">
              <w:rPr>
                <w:rFonts w:cs="Arial"/>
                <w:szCs w:val="24"/>
              </w:rPr>
              <w:t>Q3 (to 31.12.15)</w:t>
            </w:r>
          </w:p>
          <w:p w:rsidR="008615DF" w:rsidRPr="00CB1A89" w:rsidRDefault="008615DF" w:rsidP="00127264">
            <w:pPr>
              <w:jc w:val="center"/>
              <w:rPr>
                <w:rFonts w:cs="Arial"/>
                <w:szCs w:val="24"/>
              </w:rPr>
            </w:pPr>
            <w:r w:rsidRPr="00CB1A89">
              <w:rPr>
                <w:rFonts w:cs="Arial"/>
                <w:szCs w:val="24"/>
              </w:rPr>
              <w:t>Variance</w:t>
            </w:r>
          </w:p>
          <w:p w:rsidR="008615DF" w:rsidRPr="00CB1A89" w:rsidRDefault="008615DF" w:rsidP="00127264">
            <w:pPr>
              <w:jc w:val="center"/>
              <w:rPr>
                <w:rFonts w:cs="Arial"/>
                <w:szCs w:val="24"/>
              </w:rPr>
            </w:pPr>
            <w:r w:rsidRPr="00CB1A89">
              <w:rPr>
                <w:rFonts w:cs="Arial"/>
                <w:szCs w:val="24"/>
              </w:rPr>
              <w:t>£000</w:t>
            </w:r>
          </w:p>
        </w:tc>
        <w:tc>
          <w:tcPr>
            <w:tcW w:w="1641" w:type="dxa"/>
            <w:shd w:val="clear" w:color="auto" w:fill="auto"/>
          </w:tcPr>
          <w:p w:rsidR="008615DF" w:rsidRPr="00CB1A89" w:rsidRDefault="008615DF" w:rsidP="00127264">
            <w:pPr>
              <w:jc w:val="center"/>
              <w:rPr>
                <w:rFonts w:cs="Arial"/>
                <w:szCs w:val="24"/>
              </w:rPr>
            </w:pPr>
            <w:r w:rsidRPr="00CB1A89">
              <w:rPr>
                <w:rFonts w:cs="Arial"/>
                <w:szCs w:val="24"/>
              </w:rPr>
              <w:t>Movement</w:t>
            </w:r>
          </w:p>
          <w:p w:rsidR="008615DF" w:rsidRPr="00CB1A89" w:rsidRDefault="008615DF" w:rsidP="00127264">
            <w:pPr>
              <w:jc w:val="center"/>
              <w:rPr>
                <w:rFonts w:cs="Arial"/>
                <w:szCs w:val="24"/>
              </w:rPr>
            </w:pPr>
          </w:p>
          <w:p w:rsidR="008615DF" w:rsidRDefault="008615DF" w:rsidP="00127264">
            <w:pPr>
              <w:jc w:val="center"/>
              <w:rPr>
                <w:rFonts w:cs="Arial"/>
                <w:szCs w:val="24"/>
              </w:rPr>
            </w:pPr>
          </w:p>
          <w:p w:rsidR="008615DF" w:rsidRPr="00CB1A89" w:rsidRDefault="008615DF" w:rsidP="00127264">
            <w:pPr>
              <w:jc w:val="center"/>
              <w:rPr>
                <w:rFonts w:cs="Arial"/>
                <w:szCs w:val="24"/>
              </w:rPr>
            </w:pPr>
            <w:r w:rsidRPr="00CB1A89">
              <w:rPr>
                <w:rFonts w:cs="Arial"/>
                <w:szCs w:val="24"/>
              </w:rPr>
              <w:t>£000</w:t>
            </w:r>
          </w:p>
        </w:tc>
        <w:tc>
          <w:tcPr>
            <w:tcW w:w="1148" w:type="dxa"/>
          </w:tcPr>
          <w:p w:rsidR="008615DF" w:rsidRDefault="008615DF" w:rsidP="00127264">
            <w:pPr>
              <w:jc w:val="center"/>
              <w:rPr>
                <w:rFonts w:cs="Arial"/>
                <w:szCs w:val="24"/>
              </w:rPr>
            </w:pPr>
            <w:r>
              <w:rPr>
                <w:rFonts w:cs="Arial"/>
                <w:szCs w:val="24"/>
              </w:rPr>
              <w:t>One-off income / earmarked reserves included</w:t>
            </w:r>
          </w:p>
          <w:p w:rsidR="008615DF" w:rsidRPr="00CB1A89" w:rsidRDefault="008615DF" w:rsidP="00127264">
            <w:pPr>
              <w:jc w:val="center"/>
              <w:rPr>
                <w:rFonts w:cs="Arial"/>
                <w:szCs w:val="24"/>
              </w:rPr>
            </w:pPr>
            <w:r>
              <w:rPr>
                <w:rFonts w:cs="Arial"/>
                <w:szCs w:val="24"/>
              </w:rPr>
              <w:t>£000</w:t>
            </w:r>
          </w:p>
        </w:tc>
      </w:tr>
      <w:tr w:rsidR="008615DF" w:rsidRPr="00CB1A89" w:rsidTr="00C6530C">
        <w:tc>
          <w:tcPr>
            <w:tcW w:w="1435" w:type="dxa"/>
          </w:tcPr>
          <w:p w:rsidR="008615DF" w:rsidRPr="00CB1A89" w:rsidRDefault="008615DF" w:rsidP="00127264">
            <w:pPr>
              <w:rPr>
                <w:rFonts w:cs="Arial"/>
                <w:szCs w:val="24"/>
              </w:rPr>
            </w:pPr>
            <w:proofErr w:type="spellStart"/>
            <w:r>
              <w:rPr>
                <w:rFonts w:cs="Arial"/>
                <w:szCs w:val="24"/>
              </w:rPr>
              <w:t>Env</w:t>
            </w:r>
            <w:proofErr w:type="spellEnd"/>
            <w:r>
              <w:rPr>
                <w:rFonts w:cs="Arial"/>
                <w:szCs w:val="24"/>
              </w:rPr>
              <w:t xml:space="preserve"> &amp; </w:t>
            </w:r>
            <w:proofErr w:type="spellStart"/>
            <w:r>
              <w:rPr>
                <w:rFonts w:cs="Arial"/>
                <w:szCs w:val="24"/>
              </w:rPr>
              <w:t>Comm</w:t>
            </w:r>
            <w:proofErr w:type="spellEnd"/>
          </w:p>
        </w:tc>
        <w:tc>
          <w:tcPr>
            <w:tcW w:w="1549" w:type="dxa"/>
            <w:shd w:val="clear" w:color="auto" w:fill="auto"/>
          </w:tcPr>
          <w:p w:rsidR="008615DF" w:rsidRPr="00CB1A89" w:rsidRDefault="008615DF" w:rsidP="00127264">
            <w:pPr>
              <w:jc w:val="center"/>
              <w:rPr>
                <w:rFonts w:cs="Arial"/>
                <w:szCs w:val="24"/>
              </w:rPr>
            </w:pPr>
            <w:r w:rsidRPr="00CB1A89">
              <w:rPr>
                <w:rFonts w:cs="Arial"/>
                <w:szCs w:val="24"/>
              </w:rPr>
              <w:t>(25)</w:t>
            </w:r>
          </w:p>
        </w:tc>
        <w:tc>
          <w:tcPr>
            <w:tcW w:w="1651" w:type="dxa"/>
            <w:shd w:val="clear" w:color="auto" w:fill="auto"/>
          </w:tcPr>
          <w:p w:rsidR="008615DF" w:rsidRPr="00CB1A89" w:rsidRDefault="008615DF" w:rsidP="00127264">
            <w:pPr>
              <w:jc w:val="center"/>
              <w:rPr>
                <w:rFonts w:cs="Arial"/>
                <w:szCs w:val="24"/>
              </w:rPr>
            </w:pPr>
            <w:r w:rsidRPr="00CB1A89">
              <w:rPr>
                <w:rFonts w:cs="Arial"/>
                <w:szCs w:val="24"/>
              </w:rPr>
              <w:t>(24)</w:t>
            </w:r>
          </w:p>
        </w:tc>
        <w:tc>
          <w:tcPr>
            <w:tcW w:w="1641" w:type="dxa"/>
            <w:shd w:val="clear" w:color="auto" w:fill="auto"/>
          </w:tcPr>
          <w:p w:rsidR="008615DF" w:rsidRPr="00CB1A89" w:rsidRDefault="008615DF" w:rsidP="00127264">
            <w:pPr>
              <w:jc w:val="center"/>
              <w:rPr>
                <w:rFonts w:cs="Arial"/>
                <w:szCs w:val="24"/>
              </w:rPr>
            </w:pPr>
            <w:r w:rsidRPr="00CB1A89">
              <w:rPr>
                <w:rFonts w:cs="Arial"/>
                <w:szCs w:val="24"/>
              </w:rPr>
              <w:t>1</w:t>
            </w:r>
          </w:p>
        </w:tc>
        <w:tc>
          <w:tcPr>
            <w:tcW w:w="1148" w:type="dxa"/>
          </w:tcPr>
          <w:p w:rsidR="008615DF" w:rsidRPr="00CB1A89" w:rsidRDefault="005E0018" w:rsidP="00127264">
            <w:pPr>
              <w:jc w:val="center"/>
              <w:rPr>
                <w:rFonts w:cs="Arial"/>
                <w:szCs w:val="24"/>
              </w:rPr>
            </w:pPr>
            <w:r>
              <w:rPr>
                <w:rFonts w:cs="Arial"/>
                <w:szCs w:val="24"/>
              </w:rPr>
              <w:t>(759)</w:t>
            </w:r>
          </w:p>
        </w:tc>
      </w:tr>
      <w:tr w:rsidR="008615DF" w:rsidRPr="00CB1A89" w:rsidTr="00C6530C">
        <w:tc>
          <w:tcPr>
            <w:tcW w:w="1435" w:type="dxa"/>
          </w:tcPr>
          <w:p w:rsidR="008615DF" w:rsidRDefault="008615DF" w:rsidP="00127264">
            <w:pPr>
              <w:rPr>
                <w:rFonts w:cs="Arial"/>
                <w:szCs w:val="24"/>
              </w:rPr>
            </w:pPr>
            <w:r>
              <w:rPr>
                <w:rFonts w:cs="Arial"/>
                <w:szCs w:val="24"/>
              </w:rPr>
              <w:t>Cultural</w:t>
            </w:r>
          </w:p>
        </w:tc>
        <w:tc>
          <w:tcPr>
            <w:tcW w:w="1549" w:type="dxa"/>
            <w:shd w:val="clear" w:color="auto" w:fill="auto"/>
          </w:tcPr>
          <w:p w:rsidR="008615DF" w:rsidRPr="00CB1A89" w:rsidRDefault="008615DF" w:rsidP="00127264">
            <w:pPr>
              <w:jc w:val="center"/>
              <w:rPr>
                <w:rFonts w:cs="Arial"/>
                <w:szCs w:val="24"/>
              </w:rPr>
            </w:pPr>
            <w:r>
              <w:rPr>
                <w:rFonts w:cs="Arial"/>
                <w:szCs w:val="24"/>
              </w:rPr>
              <w:t>102</w:t>
            </w:r>
          </w:p>
        </w:tc>
        <w:tc>
          <w:tcPr>
            <w:tcW w:w="1651" w:type="dxa"/>
            <w:shd w:val="clear" w:color="auto" w:fill="auto"/>
          </w:tcPr>
          <w:p w:rsidR="008615DF" w:rsidRPr="00CB1A89" w:rsidRDefault="008615DF" w:rsidP="00127264">
            <w:pPr>
              <w:jc w:val="center"/>
              <w:rPr>
                <w:rFonts w:cs="Arial"/>
                <w:szCs w:val="24"/>
              </w:rPr>
            </w:pPr>
            <w:r>
              <w:rPr>
                <w:rFonts w:cs="Arial"/>
                <w:szCs w:val="24"/>
              </w:rPr>
              <w:t>102</w:t>
            </w:r>
          </w:p>
        </w:tc>
        <w:tc>
          <w:tcPr>
            <w:tcW w:w="1641" w:type="dxa"/>
            <w:shd w:val="clear" w:color="auto" w:fill="auto"/>
          </w:tcPr>
          <w:p w:rsidR="008615DF" w:rsidRPr="00CB1A89" w:rsidRDefault="008615DF" w:rsidP="00127264">
            <w:pPr>
              <w:jc w:val="center"/>
              <w:rPr>
                <w:rFonts w:cs="Arial"/>
                <w:szCs w:val="24"/>
              </w:rPr>
            </w:pPr>
            <w:r>
              <w:rPr>
                <w:rFonts w:cs="Arial"/>
                <w:szCs w:val="24"/>
              </w:rPr>
              <w:t>-</w:t>
            </w:r>
          </w:p>
        </w:tc>
        <w:tc>
          <w:tcPr>
            <w:tcW w:w="1148" w:type="dxa"/>
          </w:tcPr>
          <w:p w:rsidR="008615DF" w:rsidRDefault="005E0018" w:rsidP="00127264">
            <w:pPr>
              <w:jc w:val="center"/>
              <w:rPr>
                <w:rFonts w:cs="Arial"/>
                <w:szCs w:val="24"/>
              </w:rPr>
            </w:pPr>
            <w:r>
              <w:rPr>
                <w:rFonts w:cs="Arial"/>
                <w:szCs w:val="24"/>
              </w:rPr>
              <w:t>0</w:t>
            </w:r>
          </w:p>
        </w:tc>
      </w:tr>
      <w:tr w:rsidR="008615DF" w:rsidRPr="00CB1A89" w:rsidTr="00C6530C">
        <w:tc>
          <w:tcPr>
            <w:tcW w:w="1435" w:type="dxa"/>
          </w:tcPr>
          <w:p w:rsidR="008615DF" w:rsidRDefault="008615DF" w:rsidP="00127264">
            <w:pPr>
              <w:rPr>
                <w:rFonts w:cs="Arial"/>
                <w:szCs w:val="24"/>
              </w:rPr>
            </w:pPr>
            <w:r>
              <w:rPr>
                <w:rFonts w:cs="Arial"/>
                <w:szCs w:val="24"/>
              </w:rPr>
              <w:t>Housing GF</w:t>
            </w:r>
          </w:p>
        </w:tc>
        <w:tc>
          <w:tcPr>
            <w:tcW w:w="1549" w:type="dxa"/>
            <w:shd w:val="clear" w:color="auto" w:fill="auto"/>
          </w:tcPr>
          <w:p w:rsidR="008615DF" w:rsidRPr="00CB1A89" w:rsidRDefault="008615DF" w:rsidP="00127264">
            <w:pPr>
              <w:jc w:val="center"/>
              <w:rPr>
                <w:rFonts w:cs="Arial"/>
                <w:szCs w:val="24"/>
              </w:rPr>
            </w:pPr>
            <w:r>
              <w:rPr>
                <w:rFonts w:cs="Arial"/>
                <w:szCs w:val="24"/>
              </w:rPr>
              <w:t>775</w:t>
            </w:r>
          </w:p>
        </w:tc>
        <w:tc>
          <w:tcPr>
            <w:tcW w:w="1651" w:type="dxa"/>
            <w:shd w:val="clear" w:color="auto" w:fill="auto"/>
          </w:tcPr>
          <w:p w:rsidR="008615DF" w:rsidRPr="00CB1A89" w:rsidRDefault="008615DF" w:rsidP="00127264">
            <w:pPr>
              <w:jc w:val="center"/>
              <w:rPr>
                <w:rFonts w:cs="Arial"/>
                <w:szCs w:val="24"/>
              </w:rPr>
            </w:pPr>
            <w:r>
              <w:rPr>
                <w:rFonts w:cs="Arial"/>
                <w:szCs w:val="24"/>
              </w:rPr>
              <w:t>980</w:t>
            </w:r>
          </w:p>
        </w:tc>
        <w:tc>
          <w:tcPr>
            <w:tcW w:w="1641" w:type="dxa"/>
            <w:shd w:val="clear" w:color="auto" w:fill="auto"/>
          </w:tcPr>
          <w:p w:rsidR="008615DF" w:rsidRPr="00CB1A89" w:rsidRDefault="008615DF" w:rsidP="00127264">
            <w:pPr>
              <w:jc w:val="center"/>
              <w:rPr>
                <w:rFonts w:cs="Arial"/>
                <w:szCs w:val="24"/>
              </w:rPr>
            </w:pPr>
            <w:r>
              <w:rPr>
                <w:rFonts w:cs="Arial"/>
                <w:szCs w:val="24"/>
              </w:rPr>
              <w:t>205</w:t>
            </w:r>
          </w:p>
        </w:tc>
        <w:tc>
          <w:tcPr>
            <w:tcW w:w="1148" w:type="dxa"/>
          </w:tcPr>
          <w:p w:rsidR="008615DF" w:rsidRDefault="005E0018" w:rsidP="00127264">
            <w:pPr>
              <w:jc w:val="center"/>
              <w:rPr>
                <w:rFonts w:cs="Arial"/>
                <w:szCs w:val="24"/>
              </w:rPr>
            </w:pPr>
            <w:r>
              <w:rPr>
                <w:rFonts w:cs="Arial"/>
                <w:szCs w:val="24"/>
              </w:rPr>
              <w:t>(1000)</w:t>
            </w:r>
          </w:p>
        </w:tc>
      </w:tr>
      <w:tr w:rsidR="008615DF" w:rsidRPr="00697361" w:rsidTr="00C6530C">
        <w:tc>
          <w:tcPr>
            <w:tcW w:w="1435" w:type="dxa"/>
          </w:tcPr>
          <w:p w:rsidR="008615DF" w:rsidRPr="00697361" w:rsidRDefault="008615DF" w:rsidP="00127264">
            <w:pPr>
              <w:rPr>
                <w:rFonts w:cs="Arial"/>
                <w:b/>
                <w:szCs w:val="24"/>
              </w:rPr>
            </w:pPr>
            <w:r w:rsidRPr="00697361">
              <w:rPr>
                <w:rFonts w:cs="Arial"/>
                <w:b/>
                <w:szCs w:val="24"/>
              </w:rPr>
              <w:t>Total</w:t>
            </w:r>
          </w:p>
        </w:tc>
        <w:tc>
          <w:tcPr>
            <w:tcW w:w="1549" w:type="dxa"/>
            <w:shd w:val="clear" w:color="auto" w:fill="auto"/>
          </w:tcPr>
          <w:p w:rsidR="008615DF" w:rsidRPr="00697361" w:rsidRDefault="008615DF" w:rsidP="00127264">
            <w:pPr>
              <w:jc w:val="center"/>
              <w:rPr>
                <w:rFonts w:cs="Arial"/>
                <w:b/>
                <w:szCs w:val="24"/>
              </w:rPr>
            </w:pPr>
            <w:r w:rsidRPr="00697361">
              <w:rPr>
                <w:rFonts w:cs="Arial"/>
                <w:b/>
                <w:szCs w:val="24"/>
              </w:rPr>
              <w:t>852</w:t>
            </w:r>
          </w:p>
        </w:tc>
        <w:tc>
          <w:tcPr>
            <w:tcW w:w="1651" w:type="dxa"/>
            <w:shd w:val="clear" w:color="auto" w:fill="auto"/>
          </w:tcPr>
          <w:p w:rsidR="008615DF" w:rsidRPr="00697361" w:rsidRDefault="008615DF" w:rsidP="00127264">
            <w:pPr>
              <w:jc w:val="center"/>
              <w:rPr>
                <w:rFonts w:cs="Arial"/>
                <w:b/>
                <w:szCs w:val="24"/>
              </w:rPr>
            </w:pPr>
            <w:r w:rsidRPr="00697361">
              <w:rPr>
                <w:rFonts w:cs="Arial"/>
                <w:b/>
                <w:szCs w:val="24"/>
              </w:rPr>
              <w:t>1058</w:t>
            </w:r>
          </w:p>
        </w:tc>
        <w:tc>
          <w:tcPr>
            <w:tcW w:w="1641" w:type="dxa"/>
            <w:shd w:val="clear" w:color="auto" w:fill="auto"/>
          </w:tcPr>
          <w:p w:rsidR="008615DF" w:rsidRPr="00697361" w:rsidRDefault="008615DF" w:rsidP="00127264">
            <w:pPr>
              <w:jc w:val="center"/>
              <w:rPr>
                <w:rFonts w:cs="Arial"/>
                <w:b/>
                <w:szCs w:val="24"/>
              </w:rPr>
            </w:pPr>
            <w:r w:rsidRPr="00697361">
              <w:rPr>
                <w:rFonts w:cs="Arial"/>
                <w:b/>
                <w:szCs w:val="24"/>
              </w:rPr>
              <w:t>206</w:t>
            </w:r>
          </w:p>
        </w:tc>
        <w:tc>
          <w:tcPr>
            <w:tcW w:w="1148" w:type="dxa"/>
          </w:tcPr>
          <w:p w:rsidR="008615DF" w:rsidRPr="00697361" w:rsidRDefault="005E0018" w:rsidP="00127264">
            <w:pPr>
              <w:jc w:val="center"/>
              <w:rPr>
                <w:rFonts w:cs="Arial"/>
                <w:b/>
                <w:szCs w:val="24"/>
              </w:rPr>
            </w:pPr>
            <w:r>
              <w:rPr>
                <w:rFonts w:cs="Arial"/>
                <w:b/>
                <w:szCs w:val="24"/>
              </w:rPr>
              <w:t>(1759)</w:t>
            </w:r>
          </w:p>
        </w:tc>
      </w:tr>
    </w:tbl>
    <w:p w:rsidR="00127264" w:rsidRPr="00351735" w:rsidRDefault="00127264" w:rsidP="00127264"/>
    <w:p w:rsidR="00351735" w:rsidRDefault="00351735" w:rsidP="002C672F">
      <w:pPr>
        <w:rPr>
          <w:b/>
          <w:u w:val="single"/>
        </w:rPr>
      </w:pPr>
    </w:p>
    <w:p w:rsidR="002C672F" w:rsidRDefault="00AF6F1B" w:rsidP="002C672F">
      <w:pPr>
        <w:rPr>
          <w:b/>
          <w:u w:val="single"/>
        </w:rPr>
      </w:pPr>
      <w:r w:rsidRPr="002C672F">
        <w:rPr>
          <w:b/>
          <w:u w:val="single"/>
        </w:rPr>
        <w:t>E</w:t>
      </w:r>
      <w:r w:rsidR="002C672F" w:rsidRPr="002C672F">
        <w:rPr>
          <w:b/>
          <w:u w:val="single"/>
        </w:rPr>
        <w:t>nvironment &amp; Commissioning</w:t>
      </w:r>
    </w:p>
    <w:p w:rsidR="008753CD" w:rsidRDefault="008753CD" w:rsidP="002C672F">
      <w:pPr>
        <w:rPr>
          <w:b/>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984"/>
        <w:gridCol w:w="1882"/>
        <w:gridCol w:w="1705"/>
      </w:tblGrid>
      <w:tr w:rsidR="005E0018" w:rsidRPr="00CB1A89" w:rsidTr="00C6530C">
        <w:tc>
          <w:tcPr>
            <w:tcW w:w="1853" w:type="dxa"/>
            <w:shd w:val="clear" w:color="auto" w:fill="auto"/>
          </w:tcPr>
          <w:p w:rsidR="005E0018" w:rsidRPr="00CB1A89" w:rsidRDefault="005E0018" w:rsidP="00CB1A89">
            <w:pPr>
              <w:jc w:val="center"/>
              <w:rPr>
                <w:rFonts w:cs="Arial"/>
                <w:szCs w:val="24"/>
              </w:rPr>
            </w:pPr>
            <w:r w:rsidRPr="00CB1A89">
              <w:rPr>
                <w:rFonts w:cs="Arial"/>
                <w:szCs w:val="24"/>
              </w:rPr>
              <w:t>Q2 (to 30.9.15)</w:t>
            </w:r>
          </w:p>
          <w:p w:rsidR="005E0018" w:rsidRPr="00CB1A89" w:rsidRDefault="005E0018" w:rsidP="00CB1A89">
            <w:pPr>
              <w:jc w:val="center"/>
              <w:rPr>
                <w:rFonts w:cs="Arial"/>
                <w:szCs w:val="24"/>
              </w:rPr>
            </w:pPr>
            <w:r w:rsidRPr="00CB1A89">
              <w:rPr>
                <w:rFonts w:cs="Arial"/>
                <w:szCs w:val="24"/>
              </w:rPr>
              <w:t xml:space="preserve">Variance </w:t>
            </w:r>
          </w:p>
          <w:p w:rsidR="005E0018" w:rsidRPr="00CB1A89" w:rsidRDefault="005E0018" w:rsidP="00CB1A89">
            <w:pPr>
              <w:jc w:val="center"/>
              <w:rPr>
                <w:rFonts w:cs="Arial"/>
                <w:szCs w:val="24"/>
              </w:rPr>
            </w:pPr>
            <w:r w:rsidRPr="00CB1A89">
              <w:rPr>
                <w:rFonts w:cs="Arial"/>
                <w:szCs w:val="24"/>
              </w:rPr>
              <w:t>£000</w:t>
            </w:r>
          </w:p>
        </w:tc>
        <w:tc>
          <w:tcPr>
            <w:tcW w:w="1984" w:type="dxa"/>
            <w:shd w:val="clear" w:color="auto" w:fill="auto"/>
          </w:tcPr>
          <w:p w:rsidR="005E0018" w:rsidRPr="00CB1A89" w:rsidRDefault="005E0018" w:rsidP="00CB1A89">
            <w:pPr>
              <w:jc w:val="center"/>
              <w:rPr>
                <w:rFonts w:cs="Arial"/>
                <w:szCs w:val="24"/>
              </w:rPr>
            </w:pPr>
            <w:r w:rsidRPr="00CB1A89">
              <w:rPr>
                <w:rFonts w:cs="Arial"/>
                <w:szCs w:val="24"/>
              </w:rPr>
              <w:t>Q3 (to 31.12.15)</w:t>
            </w:r>
          </w:p>
          <w:p w:rsidR="005E0018" w:rsidRPr="00CB1A89" w:rsidRDefault="005E0018" w:rsidP="00CB1A89">
            <w:pPr>
              <w:jc w:val="center"/>
              <w:rPr>
                <w:rFonts w:cs="Arial"/>
                <w:szCs w:val="24"/>
              </w:rPr>
            </w:pPr>
            <w:r w:rsidRPr="00CB1A89">
              <w:rPr>
                <w:rFonts w:cs="Arial"/>
                <w:szCs w:val="24"/>
              </w:rPr>
              <w:t>Variance</w:t>
            </w:r>
          </w:p>
          <w:p w:rsidR="005E0018" w:rsidRPr="00CB1A89" w:rsidRDefault="005E0018" w:rsidP="00CB1A89">
            <w:pPr>
              <w:jc w:val="center"/>
              <w:rPr>
                <w:rFonts w:cs="Arial"/>
                <w:szCs w:val="24"/>
              </w:rPr>
            </w:pPr>
            <w:r w:rsidRPr="00CB1A89">
              <w:rPr>
                <w:rFonts w:cs="Arial"/>
                <w:szCs w:val="24"/>
              </w:rPr>
              <w:t>£000</w:t>
            </w:r>
          </w:p>
        </w:tc>
        <w:tc>
          <w:tcPr>
            <w:tcW w:w="1882" w:type="dxa"/>
            <w:shd w:val="clear" w:color="auto" w:fill="auto"/>
          </w:tcPr>
          <w:p w:rsidR="005E0018" w:rsidRPr="00CB1A89" w:rsidRDefault="005E0018" w:rsidP="00CB1A89">
            <w:pPr>
              <w:jc w:val="center"/>
              <w:rPr>
                <w:rFonts w:cs="Arial"/>
                <w:szCs w:val="24"/>
              </w:rPr>
            </w:pPr>
            <w:r w:rsidRPr="00CB1A89">
              <w:rPr>
                <w:rFonts w:cs="Arial"/>
                <w:szCs w:val="24"/>
              </w:rPr>
              <w:t>Movement</w:t>
            </w:r>
          </w:p>
          <w:p w:rsidR="005E0018" w:rsidRPr="00CB1A89" w:rsidRDefault="005E0018" w:rsidP="00CB1A89">
            <w:pPr>
              <w:jc w:val="center"/>
              <w:rPr>
                <w:rFonts w:cs="Arial"/>
                <w:szCs w:val="24"/>
              </w:rPr>
            </w:pPr>
          </w:p>
          <w:p w:rsidR="005E0018" w:rsidRPr="00CB1A89" w:rsidRDefault="005E0018" w:rsidP="00CB1A89">
            <w:pPr>
              <w:jc w:val="center"/>
              <w:rPr>
                <w:rFonts w:cs="Arial"/>
                <w:szCs w:val="24"/>
              </w:rPr>
            </w:pPr>
            <w:r w:rsidRPr="00CB1A89">
              <w:rPr>
                <w:rFonts w:cs="Arial"/>
                <w:szCs w:val="24"/>
              </w:rPr>
              <w:t>£000</w:t>
            </w:r>
          </w:p>
        </w:tc>
        <w:tc>
          <w:tcPr>
            <w:tcW w:w="1705" w:type="dxa"/>
          </w:tcPr>
          <w:p w:rsidR="005E0018" w:rsidRDefault="005E0018" w:rsidP="00CB1A89">
            <w:pPr>
              <w:jc w:val="center"/>
            </w:pPr>
            <w:r w:rsidRPr="00DC6CCB">
              <w:t>One-off income / earmarked reserves included</w:t>
            </w:r>
          </w:p>
          <w:p w:rsidR="005E0018" w:rsidRPr="00CB1A89" w:rsidRDefault="005E0018" w:rsidP="00CB1A89">
            <w:pPr>
              <w:jc w:val="center"/>
              <w:rPr>
                <w:rFonts w:cs="Arial"/>
                <w:szCs w:val="24"/>
              </w:rPr>
            </w:pPr>
            <w:r>
              <w:t>£000</w:t>
            </w:r>
          </w:p>
        </w:tc>
      </w:tr>
      <w:tr w:rsidR="005E0018" w:rsidRPr="00CB1A89" w:rsidTr="00C6530C">
        <w:tc>
          <w:tcPr>
            <w:tcW w:w="1853" w:type="dxa"/>
            <w:shd w:val="clear" w:color="auto" w:fill="auto"/>
          </w:tcPr>
          <w:p w:rsidR="005E0018" w:rsidRPr="00CB1A89" w:rsidRDefault="005E0018" w:rsidP="00CB1A89">
            <w:pPr>
              <w:jc w:val="center"/>
              <w:rPr>
                <w:rFonts w:cs="Arial"/>
                <w:szCs w:val="24"/>
              </w:rPr>
            </w:pPr>
            <w:r w:rsidRPr="00CB1A89">
              <w:rPr>
                <w:rFonts w:cs="Arial"/>
                <w:szCs w:val="24"/>
              </w:rPr>
              <w:t>(25)</w:t>
            </w:r>
          </w:p>
        </w:tc>
        <w:tc>
          <w:tcPr>
            <w:tcW w:w="1984" w:type="dxa"/>
            <w:shd w:val="clear" w:color="auto" w:fill="auto"/>
          </w:tcPr>
          <w:p w:rsidR="005E0018" w:rsidRPr="00CB1A89" w:rsidRDefault="005E0018" w:rsidP="00CB1A89">
            <w:pPr>
              <w:jc w:val="center"/>
              <w:rPr>
                <w:rFonts w:cs="Arial"/>
                <w:szCs w:val="24"/>
              </w:rPr>
            </w:pPr>
            <w:r w:rsidRPr="00CB1A89">
              <w:rPr>
                <w:rFonts w:cs="Arial"/>
                <w:szCs w:val="24"/>
              </w:rPr>
              <w:t>(24)</w:t>
            </w:r>
          </w:p>
        </w:tc>
        <w:tc>
          <w:tcPr>
            <w:tcW w:w="1882" w:type="dxa"/>
            <w:shd w:val="clear" w:color="auto" w:fill="auto"/>
          </w:tcPr>
          <w:p w:rsidR="005E0018" w:rsidRPr="00CB1A89" w:rsidRDefault="005E0018" w:rsidP="00CB1A89">
            <w:pPr>
              <w:jc w:val="center"/>
              <w:rPr>
                <w:rFonts w:cs="Arial"/>
                <w:szCs w:val="24"/>
              </w:rPr>
            </w:pPr>
            <w:r w:rsidRPr="00CB1A89">
              <w:rPr>
                <w:rFonts w:cs="Arial"/>
                <w:szCs w:val="24"/>
              </w:rPr>
              <w:t>1</w:t>
            </w:r>
          </w:p>
        </w:tc>
        <w:tc>
          <w:tcPr>
            <w:tcW w:w="1705" w:type="dxa"/>
          </w:tcPr>
          <w:p w:rsidR="005E0018" w:rsidRPr="00CB1A89" w:rsidRDefault="005E0018" w:rsidP="00CB1A89">
            <w:pPr>
              <w:jc w:val="center"/>
              <w:rPr>
                <w:rFonts w:cs="Arial"/>
                <w:szCs w:val="24"/>
              </w:rPr>
            </w:pPr>
            <w:r>
              <w:t>(759)</w:t>
            </w:r>
          </w:p>
        </w:tc>
      </w:tr>
    </w:tbl>
    <w:p w:rsidR="00CB1A89" w:rsidRPr="002C672F" w:rsidRDefault="00CB1A89" w:rsidP="002C672F">
      <w:pPr>
        <w:rPr>
          <w:b/>
          <w:u w:val="single"/>
        </w:rPr>
      </w:pPr>
    </w:p>
    <w:p w:rsidR="00CB1A89" w:rsidRPr="00CB1A89" w:rsidRDefault="00CB1A89" w:rsidP="00CB1A89">
      <w:pPr>
        <w:pStyle w:val="ListParagraph"/>
        <w:numPr>
          <w:ilvl w:val="0"/>
          <w:numId w:val="9"/>
        </w:numPr>
        <w:ind w:hanging="720"/>
        <w:rPr>
          <w:rFonts w:cs="Arial"/>
        </w:rPr>
      </w:pPr>
      <w:r w:rsidRPr="00CB1A89">
        <w:rPr>
          <w:rFonts w:cs="Arial"/>
        </w:rPr>
        <w:t xml:space="preserve">At Quarter 3, Commissioning &amp; Environment are reporting an under spend of £24k [0.1%] over the total net controllable budget of £18.7m.  </w:t>
      </w:r>
    </w:p>
    <w:p w:rsidR="00CB1A89" w:rsidRPr="00CB1A89" w:rsidRDefault="00CB1A89" w:rsidP="00CB1A89">
      <w:pPr>
        <w:ind w:left="720" w:hanging="720"/>
        <w:rPr>
          <w:rFonts w:cs="Arial"/>
        </w:rPr>
      </w:pPr>
    </w:p>
    <w:p w:rsidR="00CB1A89" w:rsidRPr="00CB1A89" w:rsidRDefault="00CB1A89" w:rsidP="00CB1A89">
      <w:pPr>
        <w:pStyle w:val="ListParagraph"/>
        <w:numPr>
          <w:ilvl w:val="0"/>
          <w:numId w:val="9"/>
        </w:numPr>
        <w:ind w:hanging="720"/>
        <w:rPr>
          <w:rFonts w:eastAsia="Calibri" w:cs="Arial"/>
          <w:lang w:val="en-US"/>
        </w:rPr>
      </w:pPr>
      <w:r w:rsidRPr="00CB1A89">
        <w:rPr>
          <w:rFonts w:eastAsia="Calibri" w:cs="Arial"/>
          <w:lang w:val="en-US"/>
        </w:rPr>
        <w:t>In the main, the net under spend is a result of an overachievement of income offset in part by unachieved MTFS savings.</w:t>
      </w:r>
    </w:p>
    <w:p w:rsidR="00CB1A89" w:rsidRPr="00CB1A89" w:rsidRDefault="00CB1A89" w:rsidP="00CB1A89">
      <w:pPr>
        <w:ind w:left="720" w:hanging="720"/>
        <w:rPr>
          <w:rFonts w:eastAsia="Calibri" w:cs="Arial"/>
          <w:lang w:val="en-US"/>
        </w:rPr>
      </w:pPr>
    </w:p>
    <w:p w:rsidR="00CB1A89" w:rsidRPr="00CB1A89" w:rsidRDefault="00CB1A89" w:rsidP="00CB1A89">
      <w:pPr>
        <w:pStyle w:val="ListParagraph"/>
        <w:numPr>
          <w:ilvl w:val="0"/>
          <w:numId w:val="9"/>
        </w:numPr>
        <w:ind w:hanging="720"/>
        <w:rPr>
          <w:rFonts w:eastAsia="Calibri" w:cs="Arial"/>
          <w:lang w:val="en-US"/>
        </w:rPr>
      </w:pPr>
      <w:r w:rsidRPr="00CB1A89">
        <w:rPr>
          <w:rFonts w:eastAsia="Calibri" w:cs="Arial"/>
          <w:lang w:val="en-US"/>
        </w:rPr>
        <w:t xml:space="preserve">There is a forecast overachievement of income of £0.928m, consisting of £0.768m from Breakspear Crematorium, of which £0.659m is one off; and £160k additional income from corporate estates, of which £100k is one off. There is also </w:t>
      </w:r>
      <w:proofErr w:type="gramStart"/>
      <w:r w:rsidRPr="00CB1A89">
        <w:rPr>
          <w:rFonts w:eastAsia="Calibri" w:cs="Arial"/>
          <w:lang w:val="en-US"/>
        </w:rPr>
        <w:t>an underspend</w:t>
      </w:r>
      <w:proofErr w:type="gramEnd"/>
      <w:r w:rsidRPr="00CB1A89">
        <w:rPr>
          <w:rFonts w:eastAsia="Calibri" w:cs="Arial"/>
          <w:lang w:val="en-US"/>
        </w:rPr>
        <w:t xml:space="preserve"> of £163k on directorate contingency and a forecast drawdown on the </w:t>
      </w:r>
      <w:r>
        <w:rPr>
          <w:rFonts w:eastAsia="Calibri" w:cs="Arial"/>
          <w:lang w:val="en-US"/>
        </w:rPr>
        <w:t xml:space="preserve">Business Risk Reserve in relation to </w:t>
      </w:r>
      <w:r w:rsidRPr="00CB1A89">
        <w:rPr>
          <w:rFonts w:eastAsia="Calibri" w:cs="Arial"/>
          <w:lang w:val="en-US"/>
        </w:rPr>
        <w:t>WLWA co</w:t>
      </w:r>
      <w:r>
        <w:rPr>
          <w:rFonts w:eastAsia="Calibri" w:cs="Arial"/>
          <w:lang w:val="en-US"/>
        </w:rPr>
        <w:t>sts of</w:t>
      </w:r>
      <w:r w:rsidRPr="00CB1A89">
        <w:rPr>
          <w:rFonts w:eastAsia="Calibri" w:cs="Arial"/>
          <w:lang w:val="en-US"/>
        </w:rPr>
        <w:t xml:space="preserve"> £118k.</w:t>
      </w:r>
    </w:p>
    <w:p w:rsidR="00CB1A89" w:rsidRPr="00CB1A89" w:rsidRDefault="00CB1A89" w:rsidP="00CB1A89">
      <w:pPr>
        <w:ind w:left="720" w:hanging="720"/>
        <w:rPr>
          <w:rFonts w:eastAsia="Calibri" w:cs="Arial"/>
          <w:lang w:val="en-US"/>
        </w:rPr>
      </w:pPr>
    </w:p>
    <w:p w:rsidR="00CB1A89" w:rsidRPr="00CB1A89" w:rsidRDefault="00CB1A89" w:rsidP="00CB1A89">
      <w:pPr>
        <w:pStyle w:val="ListParagraph"/>
        <w:numPr>
          <w:ilvl w:val="0"/>
          <w:numId w:val="9"/>
        </w:numPr>
        <w:ind w:hanging="720"/>
        <w:rPr>
          <w:rFonts w:eastAsia="Calibri" w:cs="Arial"/>
          <w:lang w:val="en-US"/>
        </w:rPr>
      </w:pPr>
      <w:r w:rsidRPr="00CB1A89">
        <w:rPr>
          <w:rFonts w:eastAsia="Calibri" w:cs="Arial"/>
          <w:lang w:val="en-US"/>
        </w:rPr>
        <w:t>The main over spend relates to an amber rated MTFS saving associated with the changes of garden and food waste collection system.  A separate food waste collection service commenced in October 15. It is anticipated that this will result in an increase in recycling tonnage on food waste and will yield a part year saving on disposal costs. However the full 15/16 saving will not be achieved due to the decision to delay the implementation of garden waste charging until 1</w:t>
      </w:r>
      <w:r w:rsidRPr="00CB1A89">
        <w:rPr>
          <w:rFonts w:eastAsia="Calibri" w:cs="Arial"/>
          <w:vertAlign w:val="superscript"/>
          <w:lang w:val="en-US"/>
        </w:rPr>
        <w:t>st</w:t>
      </w:r>
      <w:r w:rsidRPr="00CB1A89">
        <w:rPr>
          <w:rFonts w:eastAsia="Calibri" w:cs="Arial"/>
          <w:lang w:val="en-US"/>
        </w:rPr>
        <w:t xml:space="preserve"> April 2016 which leads to a pressure of around £0.8m this year.  </w:t>
      </w:r>
    </w:p>
    <w:p w:rsidR="00CB1A89" w:rsidRPr="00CB1A89" w:rsidRDefault="00CB1A89" w:rsidP="00CB1A89">
      <w:pPr>
        <w:ind w:left="720" w:hanging="720"/>
        <w:rPr>
          <w:rFonts w:eastAsia="Calibri" w:cs="Arial"/>
          <w:lang w:val="en-US"/>
        </w:rPr>
      </w:pPr>
    </w:p>
    <w:p w:rsidR="00CB1A89" w:rsidRPr="00CB1A89" w:rsidRDefault="00CB1A89" w:rsidP="00CB1A89">
      <w:pPr>
        <w:pStyle w:val="ListParagraph"/>
        <w:numPr>
          <w:ilvl w:val="0"/>
          <w:numId w:val="9"/>
        </w:numPr>
        <w:ind w:hanging="720"/>
        <w:rPr>
          <w:rFonts w:eastAsia="Calibri" w:cs="Arial"/>
          <w:lang w:val="en-US"/>
        </w:rPr>
      </w:pPr>
      <w:r w:rsidRPr="00CB1A89">
        <w:rPr>
          <w:rFonts w:eastAsia="Calibri" w:cs="Arial"/>
          <w:lang w:val="en-US"/>
        </w:rPr>
        <w:t xml:space="preserve">The other significant over spend relates to route </w:t>
      </w:r>
      <w:proofErr w:type="spellStart"/>
      <w:r w:rsidRPr="00CB1A89">
        <w:rPr>
          <w:rFonts w:eastAsia="Calibri" w:cs="Arial"/>
          <w:lang w:val="en-US"/>
        </w:rPr>
        <w:t>optimisation</w:t>
      </w:r>
      <w:proofErr w:type="spellEnd"/>
      <w:r w:rsidRPr="00CB1A89">
        <w:rPr>
          <w:rFonts w:eastAsia="Calibri" w:cs="Arial"/>
          <w:lang w:val="en-US"/>
        </w:rPr>
        <w:t xml:space="preserve">. The original saving anticipated in previous MTFS was £0.6m in total. A full review on waste collection routes has been undertaken, and revised </w:t>
      </w:r>
      <w:r w:rsidRPr="00CB1A89">
        <w:rPr>
          <w:rFonts w:eastAsia="Calibri" w:cs="Arial"/>
          <w:lang w:val="en-US"/>
        </w:rPr>
        <w:lastRenderedPageBreak/>
        <w:t>routings were implemented in January 15. The review, however, confirms that the actual efficiencies are less than those assumed in the original model as part of PRISM project. This has led to an ongoing unachieved saving of £353k.</w:t>
      </w:r>
    </w:p>
    <w:p w:rsidR="00CB1A89" w:rsidRPr="00CB1A89" w:rsidRDefault="00CB1A89" w:rsidP="00CB1A89">
      <w:pPr>
        <w:ind w:left="720" w:hanging="720"/>
        <w:rPr>
          <w:rFonts w:eastAsia="Calibri" w:cs="Arial"/>
          <w:lang w:val="en-US"/>
        </w:rPr>
      </w:pPr>
    </w:p>
    <w:p w:rsidR="00CB1A89" w:rsidRPr="00CB1A89" w:rsidRDefault="00CB1A89" w:rsidP="00CB1A89">
      <w:pPr>
        <w:pStyle w:val="ListParagraph"/>
        <w:numPr>
          <w:ilvl w:val="0"/>
          <w:numId w:val="9"/>
        </w:numPr>
        <w:ind w:hanging="720"/>
        <w:rPr>
          <w:rFonts w:eastAsia="Calibri" w:cs="Arial"/>
          <w:lang w:val="en-US"/>
        </w:rPr>
      </w:pPr>
      <w:r w:rsidRPr="00CB1A89">
        <w:rPr>
          <w:rFonts w:eastAsia="Calibri" w:cs="Arial"/>
          <w:lang w:val="en-US"/>
        </w:rPr>
        <w:t>Of the £4.632m 15/16 MTFS targets, there are two red rated savings totaling £385k.  £375k relates to the review of car parking charges to deal with capacity issues.  The pressure is being contained by a forecast over achievement of other parking income.  £10k relates to winter gritting saving which will be achieved in full in 16/17.</w:t>
      </w:r>
    </w:p>
    <w:p w:rsidR="00CB1A89" w:rsidRPr="00CB1A89" w:rsidRDefault="00CB1A89" w:rsidP="00CB1A89">
      <w:pPr>
        <w:ind w:left="720" w:hanging="720"/>
        <w:rPr>
          <w:rFonts w:eastAsia="Calibri" w:cs="Arial"/>
          <w:lang w:val="en-US"/>
        </w:rPr>
      </w:pPr>
    </w:p>
    <w:p w:rsidR="00CB1A89" w:rsidRPr="00CB1A89" w:rsidRDefault="00F43333" w:rsidP="00CB1A89">
      <w:pPr>
        <w:pStyle w:val="ListParagraph"/>
        <w:numPr>
          <w:ilvl w:val="0"/>
          <w:numId w:val="9"/>
        </w:numPr>
        <w:ind w:hanging="720"/>
        <w:rPr>
          <w:rFonts w:cs="Arial"/>
        </w:rPr>
      </w:pPr>
      <w:r>
        <w:rPr>
          <w:rFonts w:cs="Arial"/>
        </w:rPr>
        <w:t>The t</w:t>
      </w:r>
      <w:r w:rsidRPr="00F43333">
        <w:rPr>
          <w:rFonts w:cs="Arial"/>
        </w:rPr>
        <w:t xml:space="preserve">otal saving assumed in the MTFS for the separate food and garden waste collection regime is £2.68m. However the potential saving to be achieved is now estimated to be in a region of £1.6m per year, based on an assumed participation rate </w:t>
      </w:r>
      <w:r>
        <w:rPr>
          <w:rFonts w:cs="Arial"/>
        </w:rPr>
        <w:t>in</w:t>
      </w:r>
      <w:r w:rsidRPr="00F43333">
        <w:rPr>
          <w:rFonts w:cs="Arial"/>
        </w:rPr>
        <w:t xml:space="preserve"> the garden waste scheme of 35% and the latest operational data on food waste recycling which is being used to plan the number of rounds and vehicles required to continue the success of the separate food waste collection. This will lead to an on-going pressure of £1.08m</w:t>
      </w:r>
      <w:r>
        <w:rPr>
          <w:rFonts w:cs="Arial"/>
        </w:rPr>
        <w:t xml:space="preserve">. </w:t>
      </w:r>
      <w:r w:rsidRPr="00F43333">
        <w:rPr>
          <w:rFonts w:cs="Arial"/>
        </w:rPr>
        <w:t xml:space="preserve"> For </w:t>
      </w:r>
      <w:r>
        <w:rPr>
          <w:rFonts w:cs="Arial"/>
        </w:rPr>
        <w:t>20</w:t>
      </w:r>
      <w:r w:rsidRPr="00F43333">
        <w:rPr>
          <w:rFonts w:cs="Arial"/>
        </w:rPr>
        <w:t>16/17, a one-off saving of £670k has been identified as part of the WLWA levy arrangements which can be used to partially mitigate the pressure.</w:t>
      </w:r>
    </w:p>
    <w:p w:rsidR="00CB1A89" w:rsidRDefault="00CB1A89" w:rsidP="00CB1A89">
      <w:pPr>
        <w:rPr>
          <w:rFonts w:cs="Arial"/>
          <w:szCs w:val="24"/>
        </w:rPr>
      </w:pPr>
    </w:p>
    <w:p w:rsidR="002E14DC" w:rsidRDefault="002E14DC" w:rsidP="00AB4C90">
      <w:pPr>
        <w:keepNext/>
        <w:spacing w:after="60"/>
        <w:ind w:left="16"/>
        <w:outlineLvl w:val="0"/>
        <w:rPr>
          <w:rFonts w:cs="Arial"/>
          <w:b/>
          <w:bCs/>
          <w:kern w:val="32"/>
          <w:szCs w:val="24"/>
          <w:u w:val="single"/>
        </w:rPr>
      </w:pPr>
      <w:bookmarkStart w:id="1" w:name="_Toc372706220"/>
      <w:r w:rsidRPr="002C672F">
        <w:rPr>
          <w:rFonts w:cs="Arial"/>
          <w:b/>
          <w:bCs/>
          <w:kern w:val="32"/>
          <w:szCs w:val="24"/>
          <w:u w:val="single"/>
        </w:rPr>
        <w:t>C</w:t>
      </w:r>
      <w:r w:rsidR="002C672F" w:rsidRPr="002C672F">
        <w:rPr>
          <w:rFonts w:cs="Arial"/>
          <w:b/>
          <w:bCs/>
          <w:kern w:val="32"/>
          <w:szCs w:val="24"/>
          <w:u w:val="single"/>
        </w:rPr>
        <w:t>ultur</w:t>
      </w:r>
      <w:r w:rsidR="00CB1A89">
        <w:rPr>
          <w:rFonts w:cs="Arial"/>
          <w:b/>
          <w:bCs/>
          <w:kern w:val="32"/>
          <w:szCs w:val="24"/>
          <w:u w:val="single"/>
        </w:rPr>
        <w:t>al Services</w:t>
      </w:r>
    </w:p>
    <w:p w:rsidR="008753CD" w:rsidRDefault="008753CD" w:rsidP="00AB4C90">
      <w:pPr>
        <w:keepNext/>
        <w:spacing w:after="60"/>
        <w:ind w:left="16"/>
        <w:outlineLvl w:val="0"/>
        <w:rPr>
          <w:rFonts w:cs="Arial"/>
          <w:b/>
          <w:bCs/>
          <w:kern w:val="32"/>
          <w:szCs w:val="24"/>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1985"/>
      </w:tblGrid>
      <w:tr w:rsidR="00CB1A89" w:rsidRPr="00CB1A89" w:rsidTr="00CB1A89">
        <w:tc>
          <w:tcPr>
            <w:tcW w:w="1984" w:type="dxa"/>
            <w:shd w:val="clear" w:color="auto" w:fill="auto"/>
          </w:tcPr>
          <w:p w:rsidR="00CB1A89" w:rsidRPr="00CB1A89" w:rsidRDefault="00CB1A89" w:rsidP="00CB1A89">
            <w:pPr>
              <w:jc w:val="center"/>
              <w:rPr>
                <w:rFonts w:cs="Arial"/>
                <w:szCs w:val="24"/>
              </w:rPr>
            </w:pPr>
            <w:r w:rsidRPr="00CB1A89">
              <w:rPr>
                <w:rFonts w:cs="Arial"/>
                <w:szCs w:val="24"/>
              </w:rPr>
              <w:t>Q2 (to 30.9.15)</w:t>
            </w:r>
          </w:p>
          <w:p w:rsidR="00CB1A89" w:rsidRPr="00CB1A89" w:rsidRDefault="00CB1A89" w:rsidP="00CB1A89">
            <w:pPr>
              <w:jc w:val="center"/>
              <w:rPr>
                <w:rFonts w:cs="Arial"/>
                <w:szCs w:val="24"/>
              </w:rPr>
            </w:pPr>
            <w:r w:rsidRPr="00CB1A89">
              <w:rPr>
                <w:rFonts w:cs="Arial"/>
                <w:szCs w:val="24"/>
              </w:rPr>
              <w:t xml:space="preserve">Variance </w:t>
            </w:r>
          </w:p>
          <w:p w:rsidR="00CB1A89" w:rsidRPr="00CB1A89" w:rsidRDefault="00CB1A89" w:rsidP="00CB1A89">
            <w:pPr>
              <w:jc w:val="center"/>
              <w:rPr>
                <w:rFonts w:cs="Arial"/>
                <w:szCs w:val="24"/>
              </w:rPr>
            </w:pPr>
            <w:r w:rsidRPr="00CB1A89">
              <w:rPr>
                <w:rFonts w:cs="Arial"/>
                <w:szCs w:val="24"/>
              </w:rPr>
              <w:t>£000</w:t>
            </w:r>
          </w:p>
        </w:tc>
        <w:tc>
          <w:tcPr>
            <w:tcW w:w="2126" w:type="dxa"/>
            <w:shd w:val="clear" w:color="auto" w:fill="auto"/>
          </w:tcPr>
          <w:p w:rsidR="00CB1A89" w:rsidRPr="00CB1A89" w:rsidRDefault="00CB1A89" w:rsidP="00CB1A89">
            <w:pPr>
              <w:jc w:val="center"/>
              <w:rPr>
                <w:rFonts w:cs="Arial"/>
                <w:szCs w:val="24"/>
              </w:rPr>
            </w:pPr>
            <w:r w:rsidRPr="00CB1A89">
              <w:rPr>
                <w:rFonts w:cs="Arial"/>
                <w:szCs w:val="24"/>
              </w:rPr>
              <w:t>Q3 (to 31.12.15)</w:t>
            </w:r>
          </w:p>
          <w:p w:rsidR="00CB1A89" w:rsidRPr="00CB1A89" w:rsidRDefault="00CB1A89" w:rsidP="00CB1A89">
            <w:pPr>
              <w:jc w:val="center"/>
              <w:rPr>
                <w:rFonts w:cs="Arial"/>
                <w:szCs w:val="24"/>
              </w:rPr>
            </w:pPr>
            <w:r w:rsidRPr="00CB1A89">
              <w:rPr>
                <w:rFonts w:cs="Arial"/>
                <w:szCs w:val="24"/>
              </w:rPr>
              <w:t>Variance</w:t>
            </w:r>
          </w:p>
          <w:p w:rsidR="00CB1A89" w:rsidRPr="00CB1A89" w:rsidRDefault="00CB1A89" w:rsidP="00CB1A89">
            <w:pPr>
              <w:jc w:val="center"/>
              <w:rPr>
                <w:rFonts w:cs="Arial"/>
                <w:szCs w:val="24"/>
              </w:rPr>
            </w:pPr>
            <w:r w:rsidRPr="00CB1A89">
              <w:rPr>
                <w:rFonts w:cs="Arial"/>
                <w:szCs w:val="24"/>
              </w:rPr>
              <w:t>£000</w:t>
            </w:r>
          </w:p>
        </w:tc>
        <w:tc>
          <w:tcPr>
            <w:tcW w:w="1985" w:type="dxa"/>
            <w:shd w:val="clear" w:color="auto" w:fill="auto"/>
          </w:tcPr>
          <w:p w:rsidR="00CB1A89" w:rsidRPr="00CB1A89" w:rsidRDefault="00CB1A89" w:rsidP="00CB1A89">
            <w:pPr>
              <w:jc w:val="center"/>
              <w:rPr>
                <w:rFonts w:cs="Arial"/>
                <w:szCs w:val="24"/>
              </w:rPr>
            </w:pPr>
            <w:r w:rsidRPr="00CB1A89">
              <w:rPr>
                <w:rFonts w:cs="Arial"/>
                <w:szCs w:val="24"/>
              </w:rPr>
              <w:t>Movement</w:t>
            </w:r>
          </w:p>
          <w:p w:rsidR="00CB1A89" w:rsidRPr="00CB1A89" w:rsidRDefault="00CB1A89" w:rsidP="00CB1A89">
            <w:pPr>
              <w:jc w:val="center"/>
              <w:rPr>
                <w:rFonts w:cs="Arial"/>
                <w:szCs w:val="24"/>
              </w:rPr>
            </w:pPr>
          </w:p>
          <w:p w:rsidR="00CB1A89" w:rsidRPr="00CB1A89" w:rsidRDefault="00CB1A89" w:rsidP="00CB1A89">
            <w:pPr>
              <w:jc w:val="center"/>
              <w:rPr>
                <w:rFonts w:cs="Arial"/>
                <w:szCs w:val="24"/>
              </w:rPr>
            </w:pPr>
            <w:r w:rsidRPr="00CB1A89">
              <w:rPr>
                <w:rFonts w:cs="Arial"/>
                <w:szCs w:val="24"/>
              </w:rPr>
              <w:t>£000</w:t>
            </w:r>
          </w:p>
        </w:tc>
      </w:tr>
      <w:tr w:rsidR="00CB1A89" w:rsidRPr="00CB1A89" w:rsidTr="00CB1A89">
        <w:tc>
          <w:tcPr>
            <w:tcW w:w="1984" w:type="dxa"/>
            <w:shd w:val="clear" w:color="auto" w:fill="auto"/>
          </w:tcPr>
          <w:p w:rsidR="00CB1A89" w:rsidRPr="00CB1A89" w:rsidRDefault="00CB1A89" w:rsidP="00CB1A89">
            <w:pPr>
              <w:jc w:val="center"/>
              <w:rPr>
                <w:rFonts w:cs="Arial"/>
                <w:szCs w:val="24"/>
              </w:rPr>
            </w:pPr>
            <w:r w:rsidRPr="00CB1A89">
              <w:rPr>
                <w:rFonts w:cs="Arial"/>
                <w:szCs w:val="24"/>
              </w:rPr>
              <w:t>102</w:t>
            </w:r>
          </w:p>
        </w:tc>
        <w:tc>
          <w:tcPr>
            <w:tcW w:w="2126" w:type="dxa"/>
            <w:shd w:val="clear" w:color="auto" w:fill="auto"/>
          </w:tcPr>
          <w:p w:rsidR="00CB1A89" w:rsidRPr="00CB1A89" w:rsidRDefault="00CB1A89" w:rsidP="00CB1A89">
            <w:pPr>
              <w:jc w:val="center"/>
              <w:rPr>
                <w:rFonts w:cs="Arial"/>
                <w:szCs w:val="24"/>
              </w:rPr>
            </w:pPr>
            <w:r w:rsidRPr="00CB1A89">
              <w:rPr>
                <w:rFonts w:cs="Arial"/>
                <w:szCs w:val="24"/>
              </w:rPr>
              <w:t>102</w:t>
            </w:r>
          </w:p>
        </w:tc>
        <w:tc>
          <w:tcPr>
            <w:tcW w:w="1985" w:type="dxa"/>
            <w:shd w:val="clear" w:color="auto" w:fill="auto"/>
          </w:tcPr>
          <w:p w:rsidR="00CB1A89" w:rsidRPr="00CB1A89" w:rsidRDefault="00CB1A89" w:rsidP="00CB1A89">
            <w:pPr>
              <w:jc w:val="center"/>
              <w:rPr>
                <w:rFonts w:cs="Arial"/>
                <w:szCs w:val="24"/>
              </w:rPr>
            </w:pPr>
            <w:r w:rsidRPr="00CB1A89">
              <w:rPr>
                <w:rFonts w:cs="Arial"/>
                <w:szCs w:val="24"/>
              </w:rPr>
              <w:t>0</w:t>
            </w:r>
          </w:p>
        </w:tc>
      </w:tr>
    </w:tbl>
    <w:p w:rsidR="00CB1A89" w:rsidRPr="002C672F" w:rsidRDefault="00CB1A89" w:rsidP="00AB4C90">
      <w:pPr>
        <w:keepNext/>
        <w:spacing w:after="60"/>
        <w:ind w:left="16"/>
        <w:outlineLvl w:val="0"/>
        <w:rPr>
          <w:rFonts w:cs="Arial"/>
          <w:b/>
          <w:bCs/>
          <w:kern w:val="32"/>
          <w:szCs w:val="24"/>
          <w:u w:val="single"/>
        </w:rPr>
      </w:pPr>
    </w:p>
    <w:p w:rsidR="00CB1A89" w:rsidRPr="00CB1A89" w:rsidRDefault="00CB1A89" w:rsidP="00CB1A89">
      <w:pPr>
        <w:pStyle w:val="ListParagraph"/>
        <w:numPr>
          <w:ilvl w:val="0"/>
          <w:numId w:val="9"/>
        </w:numPr>
        <w:spacing w:after="120"/>
        <w:ind w:hanging="720"/>
        <w:rPr>
          <w:rFonts w:cs="Arial"/>
        </w:rPr>
      </w:pPr>
      <w:r w:rsidRPr="00CB1A89">
        <w:rPr>
          <w:rFonts w:cs="Arial"/>
        </w:rPr>
        <w:t xml:space="preserve">Cultural Services are reporting a projected overspend of £102k against a controllable budget of £2.940m.  </w:t>
      </w:r>
      <w:proofErr w:type="gramStart"/>
      <w:r w:rsidRPr="00CB1A89">
        <w:rPr>
          <w:rFonts w:cs="Arial"/>
        </w:rPr>
        <w:t>The overspend</w:t>
      </w:r>
      <w:proofErr w:type="gramEnd"/>
      <w:r w:rsidRPr="00CB1A89">
        <w:rPr>
          <w:rFonts w:cs="Arial"/>
        </w:rPr>
        <w:t xml:space="preserve"> largely relates to forecast partial/non achievement of MTFS savings for Arts and Heritage (£71k) and libraries (£31k). </w:t>
      </w:r>
    </w:p>
    <w:p w:rsidR="00CB1A89" w:rsidRPr="00CB1A89" w:rsidRDefault="00CB1A89" w:rsidP="00CB1A89">
      <w:pPr>
        <w:pStyle w:val="ListParagraph"/>
        <w:numPr>
          <w:ilvl w:val="0"/>
          <w:numId w:val="9"/>
        </w:numPr>
        <w:spacing w:after="120"/>
        <w:ind w:hanging="720"/>
        <w:rPr>
          <w:rFonts w:cs="Arial"/>
        </w:rPr>
      </w:pPr>
      <w:r w:rsidRPr="00CB1A89">
        <w:rPr>
          <w:rFonts w:cs="Arial"/>
        </w:rPr>
        <w:t>Arts and Heritage’s adverse variance relates largely to forecast non-achievement of room rental income at Harrow Arts Centre (HAC).</w:t>
      </w:r>
      <w:r w:rsidR="005B1AE1">
        <w:rPr>
          <w:rFonts w:cs="Arial"/>
        </w:rPr>
        <w:t xml:space="preserve"> Cabinet received a report in January which detailed the ongoing requirement for subsidy at the Arts Centre in 2016/17 under </w:t>
      </w:r>
      <w:r w:rsidRPr="00CB1A89">
        <w:rPr>
          <w:rFonts w:cs="Arial"/>
        </w:rPr>
        <w:t>new governance arrangements</w:t>
      </w:r>
      <w:r w:rsidR="005B1AE1">
        <w:rPr>
          <w:rFonts w:cs="Arial"/>
        </w:rPr>
        <w:t xml:space="preserve"> and the draft budget assumes a subsidy of £431k</w:t>
      </w:r>
      <w:r w:rsidRPr="00CB1A89">
        <w:rPr>
          <w:rFonts w:cs="Arial"/>
        </w:rPr>
        <w:t xml:space="preserve">in the next financial year.  </w:t>
      </w:r>
    </w:p>
    <w:p w:rsidR="00CB1A89" w:rsidRPr="00CB1A89" w:rsidRDefault="00CB1A89" w:rsidP="00CB1A89">
      <w:pPr>
        <w:pStyle w:val="ListParagraph"/>
        <w:numPr>
          <w:ilvl w:val="0"/>
          <w:numId w:val="9"/>
        </w:numPr>
        <w:spacing w:after="120"/>
        <w:ind w:hanging="720"/>
        <w:rPr>
          <w:rFonts w:cs="Arial"/>
        </w:rPr>
      </w:pPr>
      <w:r w:rsidRPr="00CB1A89">
        <w:rPr>
          <w:rFonts w:cs="Arial"/>
        </w:rPr>
        <w:t xml:space="preserve">Libraries’ adverse variance relates to partial non achievement of MTFS savings due to delayed finalisation over closure of libraries. The pressure this year is partially offset by the one-off saving in relation to the provision for early exit on libraries contract. An on-going pressure of £77k exists in 16/17 but will be mitigated </w:t>
      </w:r>
      <w:r w:rsidR="005E0AD9">
        <w:rPr>
          <w:rFonts w:cs="Arial"/>
        </w:rPr>
        <w:t xml:space="preserve">by </w:t>
      </w:r>
      <w:r w:rsidRPr="00CB1A89">
        <w:rPr>
          <w:rFonts w:cs="Arial"/>
        </w:rPr>
        <w:t xml:space="preserve">a reduction in the libraries’ book fund. </w:t>
      </w:r>
    </w:p>
    <w:p w:rsidR="003B0150" w:rsidRDefault="003B0150" w:rsidP="00741AEB">
      <w:pPr>
        <w:keepNext/>
        <w:spacing w:after="60"/>
        <w:ind w:left="16"/>
        <w:outlineLvl w:val="0"/>
        <w:rPr>
          <w:rFonts w:cs="Arial"/>
          <w:b/>
          <w:bCs/>
          <w:kern w:val="32"/>
          <w:szCs w:val="24"/>
        </w:rPr>
      </w:pPr>
    </w:p>
    <w:p w:rsidR="003B0150" w:rsidRDefault="003B0150" w:rsidP="00741AEB">
      <w:pPr>
        <w:keepNext/>
        <w:spacing w:after="60"/>
        <w:ind w:left="16"/>
        <w:outlineLvl w:val="0"/>
        <w:rPr>
          <w:rFonts w:cs="Arial"/>
          <w:b/>
          <w:bCs/>
          <w:kern w:val="32"/>
          <w:szCs w:val="24"/>
        </w:rPr>
      </w:pPr>
    </w:p>
    <w:p w:rsidR="003B0150" w:rsidRDefault="003B0150" w:rsidP="00741AEB">
      <w:pPr>
        <w:keepNext/>
        <w:spacing w:after="60"/>
        <w:ind w:left="16"/>
        <w:outlineLvl w:val="0"/>
        <w:rPr>
          <w:rFonts w:cs="Arial"/>
          <w:b/>
          <w:bCs/>
          <w:kern w:val="32"/>
          <w:szCs w:val="24"/>
        </w:rPr>
      </w:pPr>
    </w:p>
    <w:p w:rsidR="002E14DC" w:rsidRDefault="002E14DC" w:rsidP="00741AEB">
      <w:pPr>
        <w:keepNext/>
        <w:spacing w:after="60"/>
        <w:ind w:left="16"/>
        <w:outlineLvl w:val="0"/>
        <w:rPr>
          <w:rFonts w:cs="Arial"/>
          <w:b/>
          <w:bCs/>
          <w:kern w:val="32"/>
          <w:szCs w:val="24"/>
        </w:rPr>
      </w:pPr>
      <w:r>
        <w:rPr>
          <w:rFonts w:cs="Arial"/>
          <w:b/>
          <w:bCs/>
          <w:kern w:val="32"/>
          <w:szCs w:val="24"/>
        </w:rPr>
        <w:t>H</w:t>
      </w:r>
      <w:r w:rsidR="002C672F">
        <w:rPr>
          <w:rFonts w:cs="Arial"/>
          <w:b/>
          <w:bCs/>
          <w:kern w:val="32"/>
          <w:szCs w:val="24"/>
        </w:rPr>
        <w:t>ousing General Fund</w:t>
      </w:r>
    </w:p>
    <w:p w:rsidR="003D460D" w:rsidRDefault="003D460D" w:rsidP="00741AEB">
      <w:pPr>
        <w:keepNext/>
        <w:spacing w:after="60"/>
        <w:ind w:left="16"/>
        <w:outlineLvl w:val="0"/>
        <w:rPr>
          <w:rFonts w:cs="Arial"/>
          <w:b/>
          <w:bCs/>
          <w:kern w:val="32"/>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984"/>
        <w:gridCol w:w="1882"/>
        <w:gridCol w:w="1705"/>
      </w:tblGrid>
      <w:tr w:rsidR="005E0018" w:rsidRPr="00B76426" w:rsidTr="00C6530C">
        <w:tc>
          <w:tcPr>
            <w:tcW w:w="1853" w:type="dxa"/>
            <w:shd w:val="clear" w:color="auto" w:fill="auto"/>
          </w:tcPr>
          <w:p w:rsidR="005E0018" w:rsidRPr="00B76426" w:rsidRDefault="005E0018" w:rsidP="00B76426">
            <w:pPr>
              <w:jc w:val="center"/>
              <w:rPr>
                <w:rFonts w:cs="Arial"/>
                <w:szCs w:val="24"/>
              </w:rPr>
            </w:pPr>
            <w:r w:rsidRPr="00B76426">
              <w:rPr>
                <w:rFonts w:cs="Arial"/>
                <w:szCs w:val="24"/>
              </w:rPr>
              <w:t>Q2 (to 30.9.15)</w:t>
            </w:r>
          </w:p>
          <w:p w:rsidR="005E0018" w:rsidRPr="00B76426" w:rsidRDefault="005E0018" w:rsidP="00B76426">
            <w:pPr>
              <w:jc w:val="center"/>
              <w:rPr>
                <w:rFonts w:cs="Arial"/>
                <w:szCs w:val="24"/>
              </w:rPr>
            </w:pPr>
            <w:r w:rsidRPr="00B76426">
              <w:rPr>
                <w:rFonts w:cs="Arial"/>
                <w:szCs w:val="24"/>
              </w:rPr>
              <w:t xml:space="preserve">Variance </w:t>
            </w:r>
          </w:p>
          <w:p w:rsidR="005E0018" w:rsidRPr="00B76426" w:rsidRDefault="005E0018" w:rsidP="00B76426">
            <w:pPr>
              <w:jc w:val="center"/>
              <w:rPr>
                <w:rFonts w:cs="Arial"/>
                <w:szCs w:val="24"/>
              </w:rPr>
            </w:pPr>
            <w:r w:rsidRPr="00B76426">
              <w:rPr>
                <w:rFonts w:cs="Arial"/>
                <w:szCs w:val="24"/>
              </w:rPr>
              <w:t>£000</w:t>
            </w:r>
          </w:p>
        </w:tc>
        <w:tc>
          <w:tcPr>
            <w:tcW w:w="1984" w:type="dxa"/>
            <w:shd w:val="clear" w:color="auto" w:fill="auto"/>
          </w:tcPr>
          <w:p w:rsidR="005E0018" w:rsidRPr="00B76426" w:rsidRDefault="005E0018" w:rsidP="00B76426">
            <w:pPr>
              <w:jc w:val="center"/>
              <w:rPr>
                <w:rFonts w:cs="Arial"/>
                <w:szCs w:val="24"/>
              </w:rPr>
            </w:pPr>
            <w:r w:rsidRPr="00B76426">
              <w:rPr>
                <w:rFonts w:cs="Arial"/>
                <w:szCs w:val="24"/>
              </w:rPr>
              <w:t>Q3 (to 31.12.15)</w:t>
            </w:r>
          </w:p>
          <w:p w:rsidR="005E0018" w:rsidRPr="00B76426" w:rsidRDefault="005E0018" w:rsidP="00B76426">
            <w:pPr>
              <w:jc w:val="center"/>
              <w:rPr>
                <w:rFonts w:cs="Arial"/>
                <w:szCs w:val="24"/>
              </w:rPr>
            </w:pPr>
            <w:r w:rsidRPr="00B76426">
              <w:rPr>
                <w:rFonts w:cs="Arial"/>
                <w:szCs w:val="24"/>
              </w:rPr>
              <w:t>Variance</w:t>
            </w:r>
          </w:p>
          <w:p w:rsidR="005E0018" w:rsidRPr="00B76426" w:rsidRDefault="005E0018" w:rsidP="00B76426">
            <w:pPr>
              <w:jc w:val="center"/>
              <w:rPr>
                <w:rFonts w:cs="Arial"/>
                <w:szCs w:val="24"/>
              </w:rPr>
            </w:pPr>
            <w:r w:rsidRPr="00B76426">
              <w:rPr>
                <w:rFonts w:cs="Arial"/>
                <w:szCs w:val="24"/>
              </w:rPr>
              <w:t>£000</w:t>
            </w:r>
          </w:p>
        </w:tc>
        <w:tc>
          <w:tcPr>
            <w:tcW w:w="1882" w:type="dxa"/>
            <w:shd w:val="clear" w:color="auto" w:fill="auto"/>
          </w:tcPr>
          <w:p w:rsidR="005E0018" w:rsidRPr="00B76426" w:rsidRDefault="005E0018" w:rsidP="00B76426">
            <w:pPr>
              <w:jc w:val="center"/>
              <w:rPr>
                <w:rFonts w:cs="Arial"/>
                <w:szCs w:val="24"/>
              </w:rPr>
            </w:pPr>
            <w:r w:rsidRPr="00B76426">
              <w:rPr>
                <w:rFonts w:cs="Arial"/>
                <w:szCs w:val="24"/>
              </w:rPr>
              <w:t>Movement</w:t>
            </w:r>
          </w:p>
          <w:p w:rsidR="005E0018" w:rsidRPr="00B76426" w:rsidRDefault="005E0018" w:rsidP="00B76426">
            <w:pPr>
              <w:jc w:val="center"/>
              <w:rPr>
                <w:rFonts w:cs="Arial"/>
                <w:szCs w:val="24"/>
              </w:rPr>
            </w:pPr>
          </w:p>
          <w:p w:rsidR="005E0018" w:rsidRPr="00B76426" w:rsidRDefault="005E0018" w:rsidP="00B76426">
            <w:pPr>
              <w:jc w:val="center"/>
              <w:rPr>
                <w:rFonts w:cs="Arial"/>
                <w:szCs w:val="24"/>
              </w:rPr>
            </w:pPr>
            <w:r w:rsidRPr="00B76426">
              <w:rPr>
                <w:rFonts w:cs="Arial"/>
                <w:szCs w:val="24"/>
              </w:rPr>
              <w:t>£000</w:t>
            </w:r>
          </w:p>
        </w:tc>
        <w:tc>
          <w:tcPr>
            <w:tcW w:w="1705" w:type="dxa"/>
          </w:tcPr>
          <w:p w:rsidR="005E0018" w:rsidRPr="005E0018" w:rsidRDefault="005E0018" w:rsidP="005E0018">
            <w:pPr>
              <w:jc w:val="center"/>
              <w:rPr>
                <w:rFonts w:cs="Arial"/>
                <w:szCs w:val="24"/>
              </w:rPr>
            </w:pPr>
            <w:r w:rsidRPr="005E0018">
              <w:rPr>
                <w:rFonts w:cs="Arial"/>
                <w:szCs w:val="24"/>
              </w:rPr>
              <w:t>One-off income / earmarked reserves included</w:t>
            </w:r>
          </w:p>
          <w:p w:rsidR="005E0018" w:rsidRPr="00B76426" w:rsidRDefault="005E0018" w:rsidP="005E0018">
            <w:pPr>
              <w:jc w:val="center"/>
              <w:rPr>
                <w:rFonts w:cs="Arial"/>
                <w:szCs w:val="24"/>
              </w:rPr>
            </w:pPr>
            <w:r w:rsidRPr="005E0018">
              <w:rPr>
                <w:rFonts w:cs="Arial"/>
                <w:szCs w:val="24"/>
              </w:rPr>
              <w:t>£000</w:t>
            </w:r>
          </w:p>
        </w:tc>
      </w:tr>
      <w:tr w:rsidR="005E0018" w:rsidRPr="00B76426" w:rsidTr="00C6530C">
        <w:tc>
          <w:tcPr>
            <w:tcW w:w="1853" w:type="dxa"/>
            <w:shd w:val="clear" w:color="auto" w:fill="auto"/>
          </w:tcPr>
          <w:p w:rsidR="005E0018" w:rsidRPr="00B76426" w:rsidRDefault="005E0018" w:rsidP="00B76426">
            <w:pPr>
              <w:jc w:val="center"/>
              <w:rPr>
                <w:rFonts w:cs="Arial"/>
                <w:szCs w:val="24"/>
              </w:rPr>
            </w:pPr>
            <w:r w:rsidRPr="00B76426">
              <w:rPr>
                <w:rFonts w:cs="Arial"/>
                <w:szCs w:val="24"/>
              </w:rPr>
              <w:t>775</w:t>
            </w:r>
          </w:p>
        </w:tc>
        <w:tc>
          <w:tcPr>
            <w:tcW w:w="1984" w:type="dxa"/>
            <w:shd w:val="clear" w:color="auto" w:fill="auto"/>
          </w:tcPr>
          <w:p w:rsidR="005E0018" w:rsidRPr="00B76426" w:rsidRDefault="005E0018" w:rsidP="00B76426">
            <w:pPr>
              <w:jc w:val="center"/>
              <w:rPr>
                <w:rFonts w:cs="Arial"/>
                <w:szCs w:val="24"/>
              </w:rPr>
            </w:pPr>
            <w:r w:rsidRPr="00B76426">
              <w:rPr>
                <w:rFonts w:cs="Arial"/>
                <w:szCs w:val="24"/>
              </w:rPr>
              <w:t>980</w:t>
            </w:r>
          </w:p>
        </w:tc>
        <w:tc>
          <w:tcPr>
            <w:tcW w:w="1882" w:type="dxa"/>
            <w:shd w:val="clear" w:color="auto" w:fill="auto"/>
          </w:tcPr>
          <w:p w:rsidR="005E0018" w:rsidRPr="00B76426" w:rsidRDefault="005E0018" w:rsidP="00B76426">
            <w:pPr>
              <w:jc w:val="center"/>
              <w:rPr>
                <w:rFonts w:cs="Arial"/>
                <w:szCs w:val="24"/>
              </w:rPr>
            </w:pPr>
            <w:r w:rsidRPr="00B76426">
              <w:rPr>
                <w:rFonts w:cs="Arial"/>
                <w:szCs w:val="24"/>
              </w:rPr>
              <w:t>205</w:t>
            </w:r>
          </w:p>
        </w:tc>
        <w:tc>
          <w:tcPr>
            <w:tcW w:w="1705" w:type="dxa"/>
          </w:tcPr>
          <w:p w:rsidR="005E0018" w:rsidRPr="00B76426" w:rsidRDefault="005E0018" w:rsidP="00B76426">
            <w:pPr>
              <w:jc w:val="center"/>
              <w:rPr>
                <w:rFonts w:cs="Arial"/>
                <w:szCs w:val="24"/>
              </w:rPr>
            </w:pPr>
            <w:r>
              <w:rPr>
                <w:rFonts w:cs="Arial"/>
                <w:szCs w:val="24"/>
              </w:rPr>
              <w:t>(1000)</w:t>
            </w:r>
          </w:p>
        </w:tc>
      </w:tr>
    </w:tbl>
    <w:p w:rsidR="00B76426" w:rsidRDefault="00B76426" w:rsidP="00B76426">
      <w:pPr>
        <w:keepNext/>
        <w:spacing w:after="60"/>
        <w:ind w:left="709" w:hanging="693"/>
        <w:outlineLvl w:val="0"/>
        <w:rPr>
          <w:rFonts w:cs="Arial"/>
          <w:b/>
          <w:bCs/>
          <w:kern w:val="32"/>
          <w:szCs w:val="24"/>
        </w:rPr>
      </w:pPr>
    </w:p>
    <w:p w:rsidR="00B76426" w:rsidRPr="00B76426" w:rsidRDefault="00B76426" w:rsidP="00B76426">
      <w:pPr>
        <w:numPr>
          <w:ilvl w:val="0"/>
          <w:numId w:val="9"/>
        </w:numPr>
        <w:ind w:left="709" w:hanging="693"/>
        <w:rPr>
          <w:rFonts w:cs="Arial"/>
          <w:szCs w:val="24"/>
        </w:rPr>
      </w:pPr>
      <w:r w:rsidRPr="00B76426">
        <w:rPr>
          <w:rFonts w:cs="Arial"/>
          <w:szCs w:val="24"/>
        </w:rPr>
        <w:t xml:space="preserve">The reported pressure at Quarter 3 is £980k after </w:t>
      </w:r>
      <w:r w:rsidR="00952A57">
        <w:rPr>
          <w:rFonts w:cs="Arial"/>
          <w:szCs w:val="24"/>
        </w:rPr>
        <w:t>the proposed draw down of £1m from the Welfare Reforms/Homelessness reserve to offset the homelessness pressures</w:t>
      </w:r>
      <w:r w:rsidRPr="00B76426">
        <w:rPr>
          <w:rFonts w:cs="Arial"/>
          <w:szCs w:val="24"/>
        </w:rPr>
        <w:t xml:space="preserve">, a deterioration of £205k against Quarter 2 due mainly to increased estimated repayments to be made to DWP in respect of B&amp;B rates. </w:t>
      </w:r>
      <w:r w:rsidR="00952A57">
        <w:rPr>
          <w:rFonts w:cs="Arial"/>
          <w:szCs w:val="24"/>
        </w:rPr>
        <w:t xml:space="preserve">Without the draw down from the reserve, the pressure </w:t>
      </w:r>
      <w:r w:rsidRPr="00B76426">
        <w:rPr>
          <w:rFonts w:cs="Arial"/>
          <w:szCs w:val="24"/>
        </w:rPr>
        <w:t xml:space="preserve">  would instead be £</w:t>
      </w:r>
      <w:r w:rsidR="00952A57">
        <w:rPr>
          <w:rFonts w:cs="Arial"/>
          <w:szCs w:val="24"/>
        </w:rPr>
        <w:t>1.980</w:t>
      </w:r>
      <w:r w:rsidRPr="00B76426">
        <w:rPr>
          <w:rFonts w:cs="Arial"/>
          <w:szCs w:val="24"/>
        </w:rPr>
        <w:t>m.</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 xml:space="preserve">The </w:t>
      </w:r>
      <w:r w:rsidR="005A34DF">
        <w:rPr>
          <w:rFonts w:cs="Arial"/>
          <w:szCs w:val="24"/>
        </w:rPr>
        <w:t xml:space="preserve">£2m </w:t>
      </w:r>
      <w:r w:rsidRPr="00B76426">
        <w:rPr>
          <w:rFonts w:cs="Arial"/>
          <w:szCs w:val="24"/>
        </w:rPr>
        <w:t xml:space="preserve">pressure relates mainly to homelessness </w:t>
      </w:r>
      <w:proofErr w:type="gramStart"/>
      <w:r w:rsidR="005A34DF">
        <w:rPr>
          <w:rFonts w:cs="Arial"/>
          <w:szCs w:val="24"/>
        </w:rPr>
        <w:t xml:space="preserve">and </w:t>
      </w:r>
      <w:r w:rsidRPr="00B76426">
        <w:rPr>
          <w:rFonts w:cs="Arial"/>
          <w:szCs w:val="24"/>
        </w:rPr>
        <w:t xml:space="preserve"> is</w:t>
      </w:r>
      <w:proofErr w:type="gramEnd"/>
      <w:r w:rsidRPr="00B76426">
        <w:rPr>
          <w:rFonts w:cs="Arial"/>
          <w:szCs w:val="24"/>
        </w:rPr>
        <w:t xml:space="preserve"> expected to </w:t>
      </w:r>
      <w:r w:rsidR="005A34DF">
        <w:rPr>
          <w:rFonts w:cs="Arial"/>
          <w:szCs w:val="24"/>
        </w:rPr>
        <w:t xml:space="preserve">continue in 2016/17 </w:t>
      </w:r>
      <w:r w:rsidRPr="00B76426">
        <w:rPr>
          <w:rFonts w:cs="Arial"/>
          <w:szCs w:val="24"/>
        </w:rPr>
        <w:t>due to the combined impact of a shortage of affordable accommodation in London, rapidly increasing rents in the private rented sector and the Government’s welfare reforms placing increased pressures on household incomes. These factors continue to drive extraordinary growth in the number of families becoming homeless across London and are expected to mask the savings accruing from the Council’s Property Purchase Initiative which was predicated on there being no further growth in homelessness.</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In summary, the pressure mainly comprises:</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Bed &amp; Breakfast accommodation (“B&amp;B”) - £1.318m pressure</w:t>
      </w:r>
    </w:p>
    <w:p w:rsidR="00B76426" w:rsidRPr="00B76426" w:rsidRDefault="00B76426" w:rsidP="00B76426">
      <w:pPr>
        <w:ind w:left="709" w:hanging="693"/>
        <w:rPr>
          <w:rFonts w:cs="Arial"/>
          <w:szCs w:val="24"/>
        </w:rPr>
      </w:pPr>
    </w:p>
    <w:p w:rsidR="00B76426" w:rsidRPr="00B76426" w:rsidRDefault="00B76426" w:rsidP="00B76426">
      <w:pPr>
        <w:ind w:left="709"/>
        <w:rPr>
          <w:rFonts w:cs="Arial"/>
          <w:szCs w:val="24"/>
        </w:rPr>
      </w:pPr>
      <w:r w:rsidRPr="00B76426">
        <w:rPr>
          <w:rFonts w:cs="Arial"/>
          <w:szCs w:val="24"/>
        </w:rPr>
        <w:t>The number of households in B&amp;B stood at 256 (</w:t>
      </w:r>
      <w:r w:rsidR="00A10BDE" w:rsidRPr="00B76426">
        <w:rPr>
          <w:rFonts w:cs="Arial"/>
          <w:szCs w:val="24"/>
        </w:rPr>
        <w:t>Q</w:t>
      </w:r>
      <w:r w:rsidR="00A10BDE">
        <w:rPr>
          <w:rFonts w:cs="Arial"/>
          <w:szCs w:val="24"/>
        </w:rPr>
        <w:t>uarter</w:t>
      </w:r>
      <w:r w:rsidRPr="00B76426">
        <w:rPr>
          <w:rFonts w:cs="Arial"/>
          <w:szCs w:val="24"/>
        </w:rPr>
        <w:t xml:space="preserve"> 2, 227) and the budget holder estimates this will increase to approximately 312 at the end of the financial year, more than double the number at the start of the year. This increase results in an estimated net expenditure of £2.350m against a budget of £1.032m yielding a pressure of £1.318m (</w:t>
      </w:r>
      <w:r w:rsidR="00A10BDE" w:rsidRPr="00B76426">
        <w:rPr>
          <w:rFonts w:cs="Arial"/>
          <w:szCs w:val="24"/>
        </w:rPr>
        <w:t>Q</w:t>
      </w:r>
      <w:r w:rsidR="00A10BDE">
        <w:rPr>
          <w:rFonts w:cs="Arial"/>
          <w:szCs w:val="24"/>
        </w:rPr>
        <w:t>uarter</w:t>
      </w:r>
      <w:r w:rsidRPr="00B76426">
        <w:rPr>
          <w:rFonts w:cs="Arial"/>
          <w:szCs w:val="24"/>
        </w:rPr>
        <w:t xml:space="preserve"> 2, £1.172m). Deterioration against </w:t>
      </w:r>
      <w:r w:rsidR="00A10BDE" w:rsidRPr="00B76426">
        <w:rPr>
          <w:rFonts w:cs="Arial"/>
          <w:szCs w:val="24"/>
        </w:rPr>
        <w:t>Q</w:t>
      </w:r>
      <w:r w:rsidR="00A10BDE">
        <w:rPr>
          <w:rFonts w:cs="Arial"/>
          <w:szCs w:val="24"/>
        </w:rPr>
        <w:t>uar</w:t>
      </w:r>
      <w:r w:rsidR="00A10BDE" w:rsidRPr="00B76426">
        <w:rPr>
          <w:rFonts w:cs="Arial"/>
          <w:szCs w:val="24"/>
        </w:rPr>
        <w:t>t</w:t>
      </w:r>
      <w:r w:rsidR="00A10BDE">
        <w:rPr>
          <w:rFonts w:cs="Arial"/>
          <w:szCs w:val="24"/>
        </w:rPr>
        <w:t>e</w:t>
      </w:r>
      <w:r w:rsidR="00A10BDE" w:rsidRPr="00B76426">
        <w:rPr>
          <w:rFonts w:cs="Arial"/>
          <w:szCs w:val="24"/>
        </w:rPr>
        <w:t>r</w:t>
      </w:r>
      <w:r w:rsidRPr="00B76426">
        <w:rPr>
          <w:rFonts w:cs="Arial"/>
          <w:szCs w:val="24"/>
        </w:rPr>
        <w:t xml:space="preserve"> 2 of £146k is due mainly to an increased estimate of repayments to be made to DWP resulting from HB paid for B&amp;B over subsidy rates. The actual amount to be repaid will not be known until the subsidy claim is finalised by the Revenues &amp; Benefits Team at year end.</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Private Sector Leasing (“PSL”) - £154k pressure</w:t>
      </w:r>
    </w:p>
    <w:p w:rsidR="00B76426" w:rsidRPr="00B76426" w:rsidRDefault="00B76426" w:rsidP="00B76426">
      <w:pPr>
        <w:ind w:left="709"/>
        <w:rPr>
          <w:rFonts w:cs="Arial"/>
          <w:szCs w:val="24"/>
        </w:rPr>
      </w:pPr>
      <w:r w:rsidRPr="00B76426">
        <w:rPr>
          <w:rFonts w:cs="Arial"/>
          <w:szCs w:val="24"/>
        </w:rPr>
        <w:t xml:space="preserve">The number of PSLs is expected to stand at approximately 340 at the end of the financial year assuming four new leases every week and the majority of existing leases continuing. </w:t>
      </w:r>
      <w:r w:rsidR="00A10BDE" w:rsidRPr="00B76426">
        <w:rPr>
          <w:rFonts w:cs="Arial"/>
          <w:szCs w:val="24"/>
        </w:rPr>
        <w:t>These assumptions indicate an estimated surplus of £558k against a an assumed income of £712k (set in the MTFS) yielding a pressure of £154k (Q</w:t>
      </w:r>
      <w:r w:rsidR="00A10BDE">
        <w:rPr>
          <w:rFonts w:cs="Arial"/>
          <w:szCs w:val="24"/>
        </w:rPr>
        <w:t>uarter</w:t>
      </w:r>
      <w:r w:rsidR="00A10BDE" w:rsidRPr="00B76426">
        <w:rPr>
          <w:rFonts w:cs="Arial"/>
          <w:szCs w:val="24"/>
        </w:rPr>
        <w:t xml:space="preserve"> 2, £136k) With the </w:t>
      </w:r>
      <w:r w:rsidR="00A10BDE" w:rsidRPr="00B76426">
        <w:rPr>
          <w:rFonts w:cs="Arial"/>
          <w:szCs w:val="24"/>
        </w:rPr>
        <w:lastRenderedPageBreak/>
        <w:t>current housing market, it is difficult to obtain the number of leases originally assumed, and the surplus rent to cover administration costs is also lower because of market rents rising considerably whilst rental income that can be claimed has been frozen since 2011.</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Discretionary Housing Payments (“DHP”) - £400k pressure</w:t>
      </w:r>
    </w:p>
    <w:p w:rsidR="00B76426" w:rsidRPr="00B76426" w:rsidRDefault="00B76426" w:rsidP="008753CD">
      <w:pPr>
        <w:ind w:left="709"/>
        <w:rPr>
          <w:rFonts w:cs="Arial"/>
          <w:szCs w:val="24"/>
        </w:rPr>
      </w:pPr>
      <w:r w:rsidRPr="00B76426">
        <w:rPr>
          <w:rFonts w:cs="Arial"/>
          <w:szCs w:val="24"/>
        </w:rPr>
        <w:t>The DHP allocation for 2015-16 has been reduced by some 40% from 2014-15 levels to £677k. This has created a pressure of £400k in the Housing Needs Budget.</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Bad Debt provision – £146k pressure</w:t>
      </w:r>
    </w:p>
    <w:p w:rsidR="00B76426" w:rsidRPr="00B76426" w:rsidRDefault="00B76426" w:rsidP="00B76426">
      <w:pPr>
        <w:ind w:left="709"/>
        <w:rPr>
          <w:rFonts w:cs="Arial"/>
          <w:szCs w:val="24"/>
        </w:rPr>
      </w:pPr>
      <w:r w:rsidRPr="00B76426">
        <w:rPr>
          <w:rFonts w:cs="Arial"/>
          <w:szCs w:val="24"/>
        </w:rPr>
        <w:t>The current budget for bad debts is £50k, but it is becoming an increasing challenge to collect monies owed to the Council. Existing corporate charging procedures for B&amp;B are being reviewed to improve collection rates, but at this stage a provision for bad debt of £196k is required, giving rise to a pressure of £146k.</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Resident Services - £79k pressure</w:t>
      </w:r>
    </w:p>
    <w:p w:rsidR="00B76426" w:rsidRPr="00B76426" w:rsidRDefault="00B76426" w:rsidP="00B76426">
      <w:pPr>
        <w:ind w:left="709"/>
        <w:rPr>
          <w:rFonts w:cs="Arial"/>
          <w:szCs w:val="24"/>
        </w:rPr>
      </w:pPr>
      <w:proofErr w:type="gramStart"/>
      <w:r w:rsidRPr="00B76426">
        <w:rPr>
          <w:rFonts w:cs="Arial"/>
          <w:szCs w:val="24"/>
        </w:rPr>
        <w:t>Relates to additional management costs and contract payments to ensure compliance with applicable legislation and agency costs to cover vacant posts.</w:t>
      </w:r>
      <w:proofErr w:type="gramEnd"/>
      <w:r w:rsidRPr="00B76426">
        <w:rPr>
          <w:rFonts w:cs="Arial"/>
          <w:szCs w:val="24"/>
        </w:rPr>
        <w:t xml:space="preserve"> The impacts of the current review of Watkins House, which may include increased costs to General Fund, will be included once known. </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 xml:space="preserve">Harrow Stay Put - £35k pressure </w:t>
      </w:r>
    </w:p>
    <w:p w:rsidR="00B76426" w:rsidRPr="00B76426" w:rsidRDefault="00B76426" w:rsidP="00B76426">
      <w:pPr>
        <w:ind w:left="709"/>
        <w:rPr>
          <w:rFonts w:cs="Arial"/>
          <w:szCs w:val="24"/>
        </w:rPr>
      </w:pPr>
      <w:r w:rsidRPr="00B76426">
        <w:rPr>
          <w:rFonts w:cs="Arial"/>
          <w:szCs w:val="24"/>
        </w:rPr>
        <w:t>Pressure relates to agency cover which may be neutralised by recharges to capital assuming adequate referrals from Adult Services.</w:t>
      </w:r>
    </w:p>
    <w:p w:rsidR="00B76426" w:rsidRPr="00B76426" w:rsidRDefault="00B76426" w:rsidP="00B76426">
      <w:pPr>
        <w:ind w:left="709" w:hanging="693"/>
        <w:rPr>
          <w:rFonts w:cs="Arial"/>
          <w:szCs w:val="24"/>
        </w:rPr>
      </w:pPr>
    </w:p>
    <w:p w:rsidR="00B76426" w:rsidRPr="00B76426" w:rsidRDefault="00B76426" w:rsidP="00B76426">
      <w:pPr>
        <w:numPr>
          <w:ilvl w:val="0"/>
          <w:numId w:val="9"/>
        </w:numPr>
        <w:ind w:left="709" w:hanging="693"/>
        <w:rPr>
          <w:rFonts w:cs="Arial"/>
          <w:szCs w:val="24"/>
        </w:rPr>
      </w:pPr>
      <w:r w:rsidRPr="00B76426">
        <w:rPr>
          <w:rFonts w:cs="Arial"/>
          <w:szCs w:val="24"/>
        </w:rPr>
        <w:t>Other variations - £11k capacity</w:t>
      </w:r>
    </w:p>
    <w:p w:rsidR="00B76426" w:rsidRPr="00B76426" w:rsidRDefault="00B76426" w:rsidP="00B76426">
      <w:pPr>
        <w:ind w:left="709"/>
        <w:rPr>
          <w:rFonts w:cs="Arial"/>
          <w:szCs w:val="24"/>
        </w:rPr>
      </w:pPr>
      <w:r w:rsidRPr="00B76426">
        <w:rPr>
          <w:rFonts w:cs="Arial"/>
          <w:szCs w:val="24"/>
        </w:rPr>
        <w:t>Include income pressure on Regeneration as income target for toolkits will not be met, offset by capacity on Travellers Site</w:t>
      </w:r>
    </w:p>
    <w:p w:rsidR="00B76426" w:rsidRPr="00B76426" w:rsidRDefault="00B76426" w:rsidP="00B76426">
      <w:pPr>
        <w:ind w:left="709" w:hanging="693"/>
        <w:rPr>
          <w:rFonts w:cs="Arial"/>
          <w:szCs w:val="24"/>
        </w:rPr>
      </w:pPr>
    </w:p>
    <w:p w:rsidR="00952A57" w:rsidRDefault="00952A57" w:rsidP="00B76426">
      <w:pPr>
        <w:numPr>
          <w:ilvl w:val="0"/>
          <w:numId w:val="9"/>
        </w:numPr>
        <w:ind w:hanging="720"/>
        <w:rPr>
          <w:rFonts w:cs="Arial"/>
          <w:szCs w:val="24"/>
        </w:rPr>
      </w:pPr>
      <w:r>
        <w:rPr>
          <w:rFonts w:cs="Arial"/>
          <w:szCs w:val="24"/>
        </w:rPr>
        <w:t xml:space="preserve">Underspends </w:t>
      </w:r>
      <w:r w:rsidR="00B76426" w:rsidRPr="00B76426">
        <w:rPr>
          <w:rFonts w:cs="Arial"/>
          <w:szCs w:val="24"/>
        </w:rPr>
        <w:t>totalling £141</w:t>
      </w:r>
      <w:r>
        <w:rPr>
          <w:rFonts w:cs="Arial"/>
          <w:szCs w:val="24"/>
        </w:rPr>
        <w:t>k</w:t>
      </w:r>
      <w:r w:rsidR="00B76426" w:rsidRPr="00B76426">
        <w:rPr>
          <w:rFonts w:cs="Arial"/>
          <w:szCs w:val="24"/>
        </w:rPr>
        <w:t xml:space="preserve"> comprise £78k management fees charged to HRA in respect of the use HRA properties as Temporary Accommodation and £12k recharges to HRA for Corporate Director (Environment &amp; Enterprise). A further £51k recharges to capital in respect of the housing regeneration team have been included on the assumption these meet Council’s criteria for capitalisation</w:t>
      </w:r>
      <w:r w:rsidRPr="00B76426">
        <w:rPr>
          <w:rFonts w:cs="Arial"/>
          <w:szCs w:val="24"/>
        </w:rPr>
        <w:t>.</w:t>
      </w:r>
    </w:p>
    <w:p w:rsidR="00952A57" w:rsidRDefault="00952A57" w:rsidP="00C6530C">
      <w:pPr>
        <w:ind w:left="720"/>
        <w:rPr>
          <w:rFonts w:cs="Arial"/>
          <w:szCs w:val="24"/>
        </w:rPr>
      </w:pPr>
    </w:p>
    <w:p w:rsidR="00B76426" w:rsidRPr="00B76426" w:rsidRDefault="00B76426" w:rsidP="00B76426">
      <w:pPr>
        <w:numPr>
          <w:ilvl w:val="0"/>
          <w:numId w:val="9"/>
        </w:numPr>
        <w:ind w:hanging="720"/>
        <w:rPr>
          <w:rFonts w:cs="Arial"/>
          <w:szCs w:val="24"/>
        </w:rPr>
      </w:pPr>
      <w:r w:rsidRPr="00B76426">
        <w:rPr>
          <w:rFonts w:cs="Arial"/>
          <w:szCs w:val="24"/>
        </w:rPr>
        <w:t>Finally, £1.0m will be drawn down, as a one off, from the Welfare Reforms / Homelessness reserve to partially offset the homelessness pressures.</w:t>
      </w:r>
    </w:p>
    <w:p w:rsidR="00B76426" w:rsidRDefault="00B76426" w:rsidP="00B76426">
      <w:pPr>
        <w:rPr>
          <w:rFonts w:cs="Arial"/>
          <w:szCs w:val="24"/>
        </w:rPr>
      </w:pPr>
    </w:p>
    <w:p w:rsidR="00C81947" w:rsidRDefault="00C81947" w:rsidP="00C81947">
      <w:pPr>
        <w:suppressAutoHyphens/>
        <w:rPr>
          <w:rFonts w:cs="Arial"/>
          <w:b/>
          <w:iCs/>
          <w:szCs w:val="24"/>
          <w:lang w:eastAsia="ar-SA"/>
        </w:rPr>
      </w:pPr>
      <w:r w:rsidRPr="00C81947">
        <w:rPr>
          <w:rFonts w:cs="Arial"/>
          <w:b/>
          <w:iCs/>
          <w:szCs w:val="24"/>
          <w:lang w:eastAsia="ar-SA"/>
        </w:rPr>
        <w:t>H</w:t>
      </w:r>
      <w:r w:rsidR="000A4437">
        <w:rPr>
          <w:rFonts w:cs="Arial"/>
          <w:b/>
          <w:iCs/>
          <w:szCs w:val="24"/>
          <w:lang w:eastAsia="ar-SA"/>
        </w:rPr>
        <w:t>ousing Revenue Account</w:t>
      </w:r>
    </w:p>
    <w:p w:rsidR="00B76426" w:rsidRDefault="00B76426" w:rsidP="00C81947">
      <w:pPr>
        <w:suppressAutoHyphens/>
        <w:rPr>
          <w:rFonts w:cs="Arial"/>
          <w:b/>
          <w:iCs/>
          <w:szCs w:val="24"/>
          <w:lang w:eastAsia="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1985"/>
      </w:tblGrid>
      <w:tr w:rsidR="00B76426" w:rsidRPr="00B76426" w:rsidTr="00B76426">
        <w:tc>
          <w:tcPr>
            <w:tcW w:w="1984" w:type="dxa"/>
            <w:shd w:val="clear" w:color="auto" w:fill="auto"/>
          </w:tcPr>
          <w:p w:rsidR="00B76426" w:rsidRPr="00B76426" w:rsidRDefault="00B76426" w:rsidP="00B76426">
            <w:pPr>
              <w:jc w:val="center"/>
              <w:rPr>
                <w:rFonts w:cs="Arial"/>
                <w:szCs w:val="24"/>
              </w:rPr>
            </w:pPr>
            <w:r w:rsidRPr="00B76426">
              <w:rPr>
                <w:rFonts w:cs="Arial"/>
                <w:szCs w:val="24"/>
              </w:rPr>
              <w:t>Q2 (to 30.9.15)</w:t>
            </w:r>
          </w:p>
          <w:p w:rsidR="00B76426" w:rsidRPr="00B76426" w:rsidRDefault="00B76426" w:rsidP="00B76426">
            <w:pPr>
              <w:jc w:val="center"/>
              <w:rPr>
                <w:rFonts w:cs="Arial"/>
                <w:szCs w:val="24"/>
              </w:rPr>
            </w:pPr>
            <w:r w:rsidRPr="00B76426">
              <w:rPr>
                <w:rFonts w:cs="Arial"/>
                <w:szCs w:val="24"/>
              </w:rPr>
              <w:t xml:space="preserve">Variance </w:t>
            </w:r>
          </w:p>
          <w:p w:rsidR="00B76426" w:rsidRPr="00B76426" w:rsidRDefault="00B76426" w:rsidP="00B76426">
            <w:pPr>
              <w:jc w:val="center"/>
              <w:rPr>
                <w:rFonts w:cs="Arial"/>
                <w:szCs w:val="24"/>
              </w:rPr>
            </w:pPr>
            <w:r w:rsidRPr="00B76426">
              <w:rPr>
                <w:rFonts w:cs="Arial"/>
                <w:szCs w:val="24"/>
              </w:rPr>
              <w:t>£000</w:t>
            </w:r>
          </w:p>
        </w:tc>
        <w:tc>
          <w:tcPr>
            <w:tcW w:w="2126" w:type="dxa"/>
            <w:shd w:val="clear" w:color="auto" w:fill="auto"/>
          </w:tcPr>
          <w:p w:rsidR="00B76426" w:rsidRPr="00B76426" w:rsidRDefault="00B76426" w:rsidP="00B76426">
            <w:pPr>
              <w:jc w:val="center"/>
              <w:rPr>
                <w:rFonts w:cs="Arial"/>
                <w:szCs w:val="24"/>
              </w:rPr>
            </w:pPr>
            <w:r w:rsidRPr="00B76426">
              <w:rPr>
                <w:rFonts w:cs="Arial"/>
                <w:szCs w:val="24"/>
              </w:rPr>
              <w:t>Q3 (to 31.12.15)</w:t>
            </w:r>
          </w:p>
          <w:p w:rsidR="00B76426" w:rsidRPr="00B76426" w:rsidRDefault="00B76426" w:rsidP="00B76426">
            <w:pPr>
              <w:jc w:val="center"/>
              <w:rPr>
                <w:rFonts w:cs="Arial"/>
                <w:szCs w:val="24"/>
              </w:rPr>
            </w:pPr>
            <w:r w:rsidRPr="00B76426">
              <w:rPr>
                <w:rFonts w:cs="Arial"/>
                <w:szCs w:val="24"/>
              </w:rPr>
              <w:t>Variance</w:t>
            </w:r>
          </w:p>
          <w:p w:rsidR="00B76426" w:rsidRPr="00B76426" w:rsidRDefault="00B76426" w:rsidP="00B76426">
            <w:pPr>
              <w:jc w:val="center"/>
              <w:rPr>
                <w:rFonts w:cs="Arial"/>
                <w:szCs w:val="24"/>
              </w:rPr>
            </w:pPr>
            <w:r w:rsidRPr="00B76426">
              <w:rPr>
                <w:rFonts w:cs="Arial"/>
                <w:szCs w:val="24"/>
              </w:rPr>
              <w:t>£000</w:t>
            </w:r>
          </w:p>
        </w:tc>
        <w:tc>
          <w:tcPr>
            <w:tcW w:w="1985" w:type="dxa"/>
            <w:shd w:val="clear" w:color="auto" w:fill="auto"/>
          </w:tcPr>
          <w:p w:rsidR="00B76426" w:rsidRPr="00B76426" w:rsidRDefault="00B76426" w:rsidP="00B76426">
            <w:pPr>
              <w:jc w:val="center"/>
              <w:rPr>
                <w:rFonts w:cs="Arial"/>
                <w:szCs w:val="24"/>
              </w:rPr>
            </w:pPr>
            <w:r w:rsidRPr="00B76426">
              <w:rPr>
                <w:rFonts w:cs="Arial"/>
                <w:szCs w:val="24"/>
              </w:rPr>
              <w:t>Movement</w:t>
            </w:r>
          </w:p>
          <w:p w:rsidR="00B76426" w:rsidRPr="00B76426" w:rsidRDefault="00B76426" w:rsidP="00B76426">
            <w:pPr>
              <w:jc w:val="center"/>
              <w:rPr>
                <w:rFonts w:cs="Arial"/>
                <w:szCs w:val="24"/>
              </w:rPr>
            </w:pPr>
          </w:p>
          <w:p w:rsidR="00B76426" w:rsidRPr="00B76426" w:rsidRDefault="00B76426" w:rsidP="00B76426">
            <w:pPr>
              <w:jc w:val="center"/>
              <w:rPr>
                <w:rFonts w:cs="Arial"/>
                <w:szCs w:val="24"/>
              </w:rPr>
            </w:pPr>
            <w:r w:rsidRPr="00B76426">
              <w:rPr>
                <w:rFonts w:cs="Arial"/>
                <w:szCs w:val="24"/>
              </w:rPr>
              <w:t>£000</w:t>
            </w:r>
          </w:p>
        </w:tc>
      </w:tr>
      <w:tr w:rsidR="00B76426" w:rsidRPr="00B76426" w:rsidTr="00B76426">
        <w:tc>
          <w:tcPr>
            <w:tcW w:w="1984" w:type="dxa"/>
            <w:shd w:val="clear" w:color="auto" w:fill="auto"/>
          </w:tcPr>
          <w:p w:rsidR="00B76426" w:rsidRPr="00B76426" w:rsidRDefault="00B76426" w:rsidP="00B76426">
            <w:pPr>
              <w:jc w:val="center"/>
              <w:rPr>
                <w:rFonts w:cs="Arial"/>
                <w:szCs w:val="24"/>
              </w:rPr>
            </w:pPr>
            <w:r w:rsidRPr="00B76426">
              <w:rPr>
                <w:rFonts w:cs="Arial"/>
                <w:szCs w:val="24"/>
              </w:rPr>
              <w:t>(84)</w:t>
            </w:r>
          </w:p>
        </w:tc>
        <w:tc>
          <w:tcPr>
            <w:tcW w:w="2126" w:type="dxa"/>
            <w:shd w:val="clear" w:color="auto" w:fill="auto"/>
          </w:tcPr>
          <w:p w:rsidR="00B76426" w:rsidRPr="00B76426" w:rsidRDefault="00B76426" w:rsidP="00B76426">
            <w:pPr>
              <w:jc w:val="center"/>
              <w:rPr>
                <w:rFonts w:cs="Arial"/>
                <w:szCs w:val="24"/>
              </w:rPr>
            </w:pPr>
            <w:r w:rsidRPr="00B76426">
              <w:rPr>
                <w:rFonts w:cs="Arial"/>
                <w:szCs w:val="24"/>
              </w:rPr>
              <w:t>(111)</w:t>
            </w:r>
          </w:p>
        </w:tc>
        <w:tc>
          <w:tcPr>
            <w:tcW w:w="1985" w:type="dxa"/>
            <w:shd w:val="clear" w:color="auto" w:fill="auto"/>
          </w:tcPr>
          <w:p w:rsidR="00B76426" w:rsidRPr="00B76426" w:rsidRDefault="00B76426" w:rsidP="00B76426">
            <w:pPr>
              <w:jc w:val="center"/>
              <w:rPr>
                <w:rFonts w:cs="Arial"/>
                <w:szCs w:val="24"/>
              </w:rPr>
            </w:pPr>
            <w:r w:rsidRPr="00B76426">
              <w:rPr>
                <w:rFonts w:cs="Arial"/>
                <w:szCs w:val="24"/>
              </w:rPr>
              <w:t>(27)</w:t>
            </w:r>
          </w:p>
        </w:tc>
      </w:tr>
    </w:tbl>
    <w:p w:rsidR="00B76426" w:rsidRPr="00C81947" w:rsidRDefault="00B76426" w:rsidP="00C81947">
      <w:pPr>
        <w:suppressAutoHyphens/>
        <w:rPr>
          <w:rFonts w:cs="Arial"/>
          <w:b/>
          <w:iCs/>
          <w:szCs w:val="24"/>
          <w:highlight w:val="cyan"/>
          <w:lang w:eastAsia="ar-SA"/>
        </w:rPr>
      </w:pPr>
    </w:p>
    <w:p w:rsidR="00B76426" w:rsidRPr="00B76426" w:rsidRDefault="00B76426" w:rsidP="00B76426">
      <w:pPr>
        <w:numPr>
          <w:ilvl w:val="0"/>
          <w:numId w:val="9"/>
        </w:numPr>
        <w:ind w:hanging="720"/>
        <w:rPr>
          <w:rFonts w:cs="Arial"/>
          <w:szCs w:val="24"/>
        </w:rPr>
      </w:pPr>
      <w:r w:rsidRPr="00B76426">
        <w:rPr>
          <w:rFonts w:cs="Arial"/>
          <w:szCs w:val="24"/>
        </w:rPr>
        <w:t xml:space="preserve">Depreciation charges in HRA result in transfer of resources from revenue to capital reserves, resulting in no overall impact on HRA financial resources. The forecast outturn shows a capacity of £111k, an </w:t>
      </w:r>
      <w:r w:rsidRPr="00B76426">
        <w:rPr>
          <w:rFonts w:cs="Arial"/>
          <w:szCs w:val="24"/>
        </w:rPr>
        <w:lastRenderedPageBreak/>
        <w:t xml:space="preserve">improvement of £27k against </w:t>
      </w:r>
      <w:r w:rsidR="00A10BDE">
        <w:rPr>
          <w:rFonts w:cs="Arial"/>
          <w:szCs w:val="24"/>
        </w:rPr>
        <w:t>Quarter</w:t>
      </w:r>
      <w:r w:rsidRPr="00B76426">
        <w:rPr>
          <w:rFonts w:cs="Arial"/>
          <w:szCs w:val="24"/>
        </w:rPr>
        <w:t xml:space="preserve"> 2 reported capacity £84k, due mainly to a reduction in estimated depreciation following a review of methodology, to be approved by external auditors. The forecast also reflects the revenue impact of the Homes-4-Harrow regeneration schemes which do not yet qualify for capitalisation.</w:t>
      </w:r>
    </w:p>
    <w:p w:rsidR="00B76426" w:rsidRPr="00B76426" w:rsidRDefault="00B76426" w:rsidP="00B76426">
      <w:pPr>
        <w:rPr>
          <w:rFonts w:cs="Arial"/>
          <w:szCs w:val="24"/>
        </w:rPr>
      </w:pPr>
    </w:p>
    <w:p w:rsidR="00B76426" w:rsidRPr="00B76426" w:rsidRDefault="00B76426" w:rsidP="00B76426">
      <w:pPr>
        <w:numPr>
          <w:ilvl w:val="0"/>
          <w:numId w:val="9"/>
        </w:numPr>
        <w:ind w:hanging="720"/>
        <w:rPr>
          <w:rFonts w:cs="Arial"/>
          <w:szCs w:val="24"/>
        </w:rPr>
      </w:pPr>
      <w:r w:rsidRPr="00B76426">
        <w:rPr>
          <w:rFonts w:cs="Arial"/>
          <w:szCs w:val="24"/>
        </w:rPr>
        <w:t>Dwellings on Grange Farm estate are assumed to be substantially impaired as result of regeneration programme. Under current regulations this accounting treatment will have no impact on HRA financial resources. Alternative accounting treatment assumes dwellings on this estate will have a very short remaining useful economic life triggering accelerated depreciation, so transferring more resources to Major Repairs Reserve, significantly reducing flexibility. In addition to the revised depreciation methodology, the proposed accounting treatment for Grange Farm will be put forward to external auditors for approval.</w:t>
      </w:r>
    </w:p>
    <w:p w:rsidR="00B76426" w:rsidRPr="00B76426" w:rsidRDefault="00B76426" w:rsidP="00B76426">
      <w:pPr>
        <w:rPr>
          <w:rFonts w:cs="Arial"/>
          <w:szCs w:val="24"/>
        </w:rPr>
      </w:pPr>
    </w:p>
    <w:p w:rsidR="00B76426" w:rsidRPr="00B63C98" w:rsidRDefault="00B76426" w:rsidP="00B76426">
      <w:pPr>
        <w:numPr>
          <w:ilvl w:val="0"/>
          <w:numId w:val="9"/>
        </w:numPr>
        <w:ind w:hanging="720"/>
        <w:rPr>
          <w:rFonts w:cs="Arial"/>
          <w:b/>
          <w:iCs/>
          <w:szCs w:val="24"/>
          <w:lang w:eastAsia="ar-SA"/>
        </w:rPr>
      </w:pPr>
      <w:r w:rsidRPr="00B63C98">
        <w:rPr>
          <w:rFonts w:cs="Arial"/>
          <w:szCs w:val="24"/>
        </w:rPr>
        <w:t>Reforms of the HRA and Welfare continue to present new and significant challenges which are being addressed by the Housing Management Team</w:t>
      </w:r>
      <w:r w:rsidRPr="00B63C98">
        <w:rPr>
          <w:rFonts w:cs="Arial"/>
          <w:szCs w:val="24"/>
        </w:rPr>
        <w:br/>
      </w:r>
    </w:p>
    <w:p w:rsidR="00B76426" w:rsidRPr="00B76426" w:rsidRDefault="00B76426" w:rsidP="00B76426">
      <w:pPr>
        <w:numPr>
          <w:ilvl w:val="0"/>
          <w:numId w:val="9"/>
        </w:numPr>
        <w:ind w:hanging="720"/>
        <w:rPr>
          <w:rFonts w:cs="Arial"/>
          <w:b/>
          <w:szCs w:val="24"/>
        </w:rPr>
      </w:pPr>
      <w:r w:rsidRPr="00B76426">
        <w:rPr>
          <w:rFonts w:cs="Arial"/>
          <w:szCs w:val="24"/>
          <w:lang w:eastAsia="en-GB"/>
        </w:rPr>
        <w:t>A summary of the HRA position is provided below which includes estimated balances.</w:t>
      </w:r>
    </w:p>
    <w:p w:rsidR="00B76426" w:rsidRPr="00B76426" w:rsidRDefault="00B76426" w:rsidP="00B76426">
      <w:pPr>
        <w:jc w:val="both"/>
        <w:rPr>
          <w:rFonts w:cs="Arial"/>
          <w:b/>
          <w:szCs w:val="24"/>
          <w:highlight w:val="cyan"/>
        </w:rPr>
      </w:pPr>
    </w:p>
    <w:tbl>
      <w:tblPr>
        <w:tblW w:w="934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418"/>
        <w:gridCol w:w="1275"/>
        <w:gridCol w:w="1276"/>
        <w:gridCol w:w="1158"/>
      </w:tblGrid>
      <w:tr w:rsidR="00B76426" w:rsidRPr="00B76426" w:rsidTr="00B76426">
        <w:trPr>
          <w:trHeight w:val="564"/>
        </w:trPr>
        <w:tc>
          <w:tcPr>
            <w:tcW w:w="2802" w:type="dxa"/>
            <w:tcBorders>
              <w:top w:val="single" w:sz="4" w:space="0" w:color="auto"/>
            </w:tcBorders>
            <w:shd w:val="clear" w:color="auto" w:fill="auto"/>
            <w:vAlign w:val="center"/>
            <w:hideMark/>
          </w:tcPr>
          <w:p w:rsidR="00B76426" w:rsidRPr="00B76426" w:rsidRDefault="00B76426" w:rsidP="00B76426">
            <w:pPr>
              <w:rPr>
                <w:rFonts w:cs="Arial"/>
                <w:b/>
                <w:bCs/>
                <w:color w:val="000000"/>
                <w:sz w:val="22"/>
                <w:szCs w:val="22"/>
                <w:lang w:eastAsia="en-GB"/>
              </w:rPr>
            </w:pPr>
            <w:r w:rsidRPr="00B76426">
              <w:rPr>
                <w:rFonts w:cs="Arial"/>
                <w:b/>
                <w:bCs/>
                <w:color w:val="000000"/>
                <w:sz w:val="22"/>
                <w:szCs w:val="22"/>
                <w:lang w:eastAsia="en-GB"/>
              </w:rPr>
              <w:t xml:space="preserve">HRA revenue balances </w:t>
            </w:r>
          </w:p>
          <w:p w:rsidR="00B76426" w:rsidRPr="00B76426" w:rsidRDefault="00B63C98" w:rsidP="00B76426">
            <w:pPr>
              <w:rPr>
                <w:rFonts w:cs="Arial"/>
                <w:b/>
                <w:bCs/>
                <w:color w:val="000000"/>
                <w:sz w:val="22"/>
                <w:szCs w:val="22"/>
                <w:lang w:eastAsia="en-GB"/>
              </w:rPr>
            </w:pPr>
            <w:r>
              <w:rPr>
                <w:rFonts w:cs="Arial"/>
                <w:b/>
                <w:bCs/>
                <w:color w:val="000000"/>
                <w:sz w:val="22"/>
                <w:szCs w:val="22"/>
                <w:lang w:eastAsia="en-GB"/>
              </w:rPr>
              <w:t>£</w:t>
            </w:r>
            <w:r w:rsidR="00B76426" w:rsidRPr="00B76426">
              <w:rPr>
                <w:rFonts w:cs="Arial"/>
                <w:b/>
                <w:bCs/>
                <w:color w:val="000000"/>
                <w:sz w:val="22"/>
                <w:szCs w:val="22"/>
                <w:lang w:eastAsia="en-GB"/>
              </w:rPr>
              <w:t>000</w:t>
            </w:r>
          </w:p>
        </w:tc>
        <w:tc>
          <w:tcPr>
            <w:tcW w:w="1417" w:type="dxa"/>
            <w:tcBorders>
              <w:top w:val="single" w:sz="4" w:space="0" w:color="auto"/>
            </w:tcBorders>
            <w:shd w:val="clear" w:color="auto" w:fill="auto"/>
            <w:vAlign w:val="center"/>
            <w:hideMark/>
          </w:tcPr>
          <w:p w:rsidR="00B76426" w:rsidRPr="00B76426" w:rsidRDefault="00B76426" w:rsidP="00B76426">
            <w:pPr>
              <w:jc w:val="right"/>
              <w:rPr>
                <w:rFonts w:cs="Arial"/>
                <w:b/>
                <w:bCs/>
                <w:color w:val="000000"/>
                <w:sz w:val="22"/>
                <w:szCs w:val="22"/>
                <w:lang w:eastAsia="en-GB"/>
              </w:rPr>
            </w:pPr>
            <w:r w:rsidRPr="00B76426">
              <w:rPr>
                <w:rFonts w:cs="Arial"/>
                <w:b/>
                <w:bCs/>
                <w:color w:val="000000"/>
                <w:sz w:val="22"/>
                <w:szCs w:val="22"/>
                <w:lang w:eastAsia="en-GB"/>
              </w:rPr>
              <w:t>Original budget</w:t>
            </w:r>
          </w:p>
        </w:tc>
        <w:tc>
          <w:tcPr>
            <w:tcW w:w="1418" w:type="dxa"/>
            <w:tcBorders>
              <w:top w:val="single" w:sz="4" w:space="0" w:color="auto"/>
            </w:tcBorders>
            <w:shd w:val="clear" w:color="auto" w:fill="auto"/>
            <w:vAlign w:val="center"/>
            <w:hideMark/>
          </w:tcPr>
          <w:p w:rsidR="00B76426" w:rsidRPr="00B76426" w:rsidRDefault="00B76426" w:rsidP="00B76426">
            <w:pPr>
              <w:jc w:val="right"/>
              <w:rPr>
                <w:rFonts w:cs="Arial"/>
                <w:b/>
                <w:bCs/>
                <w:color w:val="000000"/>
                <w:sz w:val="22"/>
                <w:szCs w:val="22"/>
                <w:lang w:eastAsia="en-GB"/>
              </w:rPr>
            </w:pPr>
            <w:r w:rsidRPr="00B76426">
              <w:rPr>
                <w:rFonts w:cs="Arial"/>
                <w:b/>
                <w:bCs/>
                <w:color w:val="000000"/>
                <w:sz w:val="22"/>
                <w:szCs w:val="22"/>
                <w:lang w:eastAsia="en-GB"/>
              </w:rPr>
              <w:t>Revised Budget</w:t>
            </w:r>
          </w:p>
        </w:tc>
        <w:tc>
          <w:tcPr>
            <w:tcW w:w="1275" w:type="dxa"/>
            <w:tcBorders>
              <w:top w:val="single" w:sz="4" w:space="0" w:color="auto"/>
            </w:tcBorders>
            <w:shd w:val="clear" w:color="auto" w:fill="auto"/>
            <w:vAlign w:val="center"/>
            <w:hideMark/>
          </w:tcPr>
          <w:p w:rsidR="00B76426" w:rsidRPr="00B76426" w:rsidRDefault="00B76426" w:rsidP="00B76426">
            <w:pPr>
              <w:jc w:val="right"/>
              <w:rPr>
                <w:rFonts w:cs="Arial"/>
                <w:b/>
                <w:bCs/>
                <w:color w:val="000000"/>
                <w:sz w:val="22"/>
                <w:szCs w:val="22"/>
                <w:lang w:eastAsia="en-GB"/>
              </w:rPr>
            </w:pPr>
            <w:r w:rsidRPr="00B76426">
              <w:rPr>
                <w:rFonts w:cs="Arial"/>
                <w:b/>
                <w:bCs/>
                <w:color w:val="000000"/>
                <w:sz w:val="22"/>
                <w:szCs w:val="22"/>
                <w:lang w:eastAsia="en-GB"/>
              </w:rPr>
              <w:t>YTD Actual</w:t>
            </w:r>
          </w:p>
        </w:tc>
        <w:tc>
          <w:tcPr>
            <w:tcW w:w="1276" w:type="dxa"/>
            <w:tcBorders>
              <w:top w:val="single" w:sz="4" w:space="0" w:color="auto"/>
            </w:tcBorders>
            <w:shd w:val="clear" w:color="auto" w:fill="auto"/>
            <w:vAlign w:val="center"/>
            <w:hideMark/>
          </w:tcPr>
          <w:p w:rsidR="00B76426" w:rsidRPr="00B76426" w:rsidRDefault="00B76426" w:rsidP="00B76426">
            <w:pPr>
              <w:jc w:val="right"/>
              <w:rPr>
                <w:rFonts w:cs="Arial"/>
                <w:b/>
                <w:bCs/>
                <w:color w:val="000000"/>
                <w:sz w:val="22"/>
                <w:szCs w:val="22"/>
                <w:lang w:eastAsia="en-GB"/>
              </w:rPr>
            </w:pPr>
            <w:r w:rsidRPr="00B76426">
              <w:rPr>
                <w:rFonts w:cs="Arial"/>
                <w:b/>
                <w:bCs/>
                <w:color w:val="000000"/>
                <w:sz w:val="22"/>
                <w:szCs w:val="22"/>
                <w:lang w:eastAsia="en-GB"/>
              </w:rPr>
              <w:t>Forecast outturn</w:t>
            </w:r>
          </w:p>
        </w:tc>
        <w:tc>
          <w:tcPr>
            <w:tcW w:w="1158" w:type="dxa"/>
            <w:tcBorders>
              <w:top w:val="single" w:sz="4" w:space="0" w:color="auto"/>
            </w:tcBorders>
          </w:tcPr>
          <w:p w:rsidR="00B76426" w:rsidRPr="00B76426" w:rsidRDefault="00B76426" w:rsidP="00B76426">
            <w:pPr>
              <w:jc w:val="right"/>
              <w:rPr>
                <w:rFonts w:cs="Arial"/>
                <w:b/>
                <w:bCs/>
                <w:color w:val="000000"/>
                <w:sz w:val="22"/>
                <w:szCs w:val="22"/>
                <w:lang w:eastAsia="en-GB"/>
              </w:rPr>
            </w:pPr>
            <w:r w:rsidRPr="00B76426">
              <w:rPr>
                <w:rFonts w:cs="Arial"/>
                <w:b/>
                <w:bCs/>
                <w:color w:val="000000"/>
                <w:sz w:val="22"/>
                <w:szCs w:val="22"/>
                <w:lang w:eastAsia="en-GB"/>
              </w:rPr>
              <w:t>Variation</w:t>
            </w:r>
          </w:p>
        </w:tc>
      </w:tr>
      <w:tr w:rsidR="00B76426" w:rsidRPr="00B76426" w:rsidTr="00B76426">
        <w:trPr>
          <w:trHeight w:val="442"/>
        </w:trPr>
        <w:tc>
          <w:tcPr>
            <w:tcW w:w="2802" w:type="dxa"/>
            <w:shd w:val="clear" w:color="auto" w:fill="auto"/>
            <w:vAlign w:val="center"/>
            <w:hideMark/>
          </w:tcPr>
          <w:p w:rsidR="00B76426" w:rsidRPr="00B76426" w:rsidRDefault="00B76426" w:rsidP="00B76426">
            <w:pPr>
              <w:rPr>
                <w:rFonts w:cs="Arial"/>
                <w:color w:val="000000"/>
                <w:sz w:val="22"/>
                <w:szCs w:val="22"/>
                <w:lang w:eastAsia="en-GB"/>
              </w:rPr>
            </w:pPr>
            <w:r w:rsidRPr="00B76426">
              <w:rPr>
                <w:rFonts w:cs="Arial"/>
                <w:color w:val="000000"/>
                <w:sz w:val="22"/>
                <w:szCs w:val="22"/>
                <w:lang w:eastAsia="en-GB"/>
              </w:rPr>
              <w:t>Balance b/</w:t>
            </w:r>
            <w:proofErr w:type="spellStart"/>
            <w:r w:rsidRPr="00B76426">
              <w:rPr>
                <w:rFonts w:cs="Arial"/>
                <w:color w:val="000000"/>
                <w:sz w:val="22"/>
                <w:szCs w:val="22"/>
                <w:lang w:eastAsia="en-GB"/>
              </w:rPr>
              <w:t>fwd</w:t>
            </w:r>
            <w:proofErr w:type="spellEnd"/>
          </w:p>
        </w:tc>
        <w:tc>
          <w:tcPr>
            <w:tcW w:w="1417" w:type="dxa"/>
            <w:shd w:val="clear" w:color="000000" w:fill="FFFFFF"/>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-4,395</w:t>
            </w:r>
          </w:p>
        </w:tc>
        <w:tc>
          <w:tcPr>
            <w:tcW w:w="1418" w:type="dxa"/>
            <w:shd w:val="clear" w:color="000000" w:fill="FFFFFF"/>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-4,395</w:t>
            </w:r>
          </w:p>
        </w:tc>
        <w:tc>
          <w:tcPr>
            <w:tcW w:w="1275" w:type="dxa"/>
            <w:shd w:val="clear" w:color="000000" w:fill="FFFFFF"/>
            <w:vAlign w:val="center"/>
            <w:hideMark/>
          </w:tcPr>
          <w:p w:rsidR="00B76426" w:rsidRPr="00B76426" w:rsidRDefault="00B76426" w:rsidP="00B76426">
            <w:pPr>
              <w:jc w:val="right"/>
              <w:rPr>
                <w:rFonts w:cs="Arial"/>
                <w:sz w:val="22"/>
                <w:szCs w:val="22"/>
                <w:highlight w:val="green"/>
                <w:lang w:eastAsia="en-GB"/>
              </w:rPr>
            </w:pPr>
          </w:p>
        </w:tc>
        <w:tc>
          <w:tcPr>
            <w:tcW w:w="1276" w:type="dxa"/>
            <w:shd w:val="clear" w:color="000000" w:fill="FFFFFF"/>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-4,585</w:t>
            </w:r>
          </w:p>
        </w:tc>
        <w:tc>
          <w:tcPr>
            <w:tcW w:w="1158" w:type="dxa"/>
            <w:shd w:val="clear" w:color="000000" w:fill="FFFFFF"/>
            <w:vAlign w:val="center"/>
          </w:tcPr>
          <w:p w:rsidR="00B76426" w:rsidRPr="00B76426" w:rsidRDefault="00B76426" w:rsidP="00B76426">
            <w:pPr>
              <w:jc w:val="right"/>
              <w:rPr>
                <w:rFonts w:cs="Arial"/>
                <w:sz w:val="22"/>
                <w:szCs w:val="22"/>
                <w:lang w:eastAsia="en-GB"/>
              </w:rPr>
            </w:pPr>
            <w:r w:rsidRPr="00B76426">
              <w:rPr>
                <w:rFonts w:cs="Arial"/>
                <w:sz w:val="22"/>
                <w:szCs w:val="22"/>
                <w:lang w:eastAsia="en-GB"/>
              </w:rPr>
              <w:t>-190</w:t>
            </w:r>
          </w:p>
        </w:tc>
      </w:tr>
      <w:tr w:rsidR="00B76426" w:rsidRPr="00B76426" w:rsidTr="00B76426">
        <w:trPr>
          <w:trHeight w:val="381"/>
        </w:trPr>
        <w:tc>
          <w:tcPr>
            <w:tcW w:w="2802" w:type="dxa"/>
            <w:shd w:val="clear" w:color="auto" w:fill="auto"/>
            <w:vAlign w:val="center"/>
            <w:hideMark/>
          </w:tcPr>
          <w:p w:rsidR="00B76426" w:rsidRPr="00B76426" w:rsidRDefault="00B76426" w:rsidP="00B76426">
            <w:pPr>
              <w:rPr>
                <w:rFonts w:cs="Arial"/>
                <w:color w:val="000000"/>
                <w:sz w:val="22"/>
                <w:szCs w:val="22"/>
                <w:lang w:eastAsia="en-GB"/>
              </w:rPr>
            </w:pPr>
            <w:r w:rsidRPr="00B76426">
              <w:rPr>
                <w:rFonts w:cs="Arial"/>
                <w:color w:val="000000"/>
                <w:sz w:val="22"/>
                <w:szCs w:val="22"/>
                <w:lang w:eastAsia="en-GB"/>
              </w:rPr>
              <w:t>Net (surplus) deficit</w:t>
            </w:r>
          </w:p>
        </w:tc>
        <w:tc>
          <w:tcPr>
            <w:tcW w:w="1417" w:type="dxa"/>
            <w:shd w:val="clear" w:color="000000" w:fill="FFFFFF"/>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-567</w:t>
            </w:r>
          </w:p>
        </w:tc>
        <w:tc>
          <w:tcPr>
            <w:tcW w:w="1418" w:type="dxa"/>
            <w:shd w:val="clear" w:color="000000" w:fill="FFFFFF"/>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-601</w:t>
            </w:r>
          </w:p>
        </w:tc>
        <w:tc>
          <w:tcPr>
            <w:tcW w:w="1275" w:type="dxa"/>
            <w:shd w:val="clear" w:color="000000" w:fill="FFFFFF"/>
            <w:vAlign w:val="center"/>
          </w:tcPr>
          <w:p w:rsidR="00B76426" w:rsidRPr="00B76426" w:rsidRDefault="00B76426" w:rsidP="00B76426">
            <w:pPr>
              <w:jc w:val="right"/>
              <w:rPr>
                <w:rFonts w:cs="Arial"/>
                <w:sz w:val="22"/>
                <w:szCs w:val="22"/>
                <w:lang w:eastAsia="en-GB"/>
              </w:rPr>
            </w:pPr>
            <w:r w:rsidRPr="00B76426">
              <w:rPr>
                <w:rFonts w:cs="Arial"/>
                <w:sz w:val="22"/>
                <w:szCs w:val="22"/>
                <w:lang w:eastAsia="en-GB"/>
              </w:rPr>
              <w:t>-9,376</w:t>
            </w:r>
          </w:p>
        </w:tc>
        <w:tc>
          <w:tcPr>
            <w:tcW w:w="1276" w:type="dxa"/>
            <w:shd w:val="clear" w:color="000000" w:fill="FFFFFF"/>
            <w:vAlign w:val="center"/>
          </w:tcPr>
          <w:p w:rsidR="00B76426" w:rsidRPr="00B76426" w:rsidRDefault="00B76426" w:rsidP="00B76426">
            <w:pPr>
              <w:jc w:val="right"/>
              <w:rPr>
                <w:rFonts w:cs="Arial"/>
                <w:sz w:val="22"/>
                <w:szCs w:val="22"/>
                <w:lang w:eastAsia="en-GB"/>
              </w:rPr>
            </w:pPr>
            <w:r w:rsidRPr="00B76426">
              <w:rPr>
                <w:rFonts w:cs="Arial"/>
                <w:sz w:val="22"/>
                <w:szCs w:val="22"/>
                <w:lang w:eastAsia="en-GB"/>
              </w:rPr>
              <w:t>-712</w:t>
            </w:r>
          </w:p>
        </w:tc>
        <w:tc>
          <w:tcPr>
            <w:tcW w:w="1158" w:type="dxa"/>
            <w:shd w:val="clear" w:color="000000" w:fill="FFFFFF"/>
            <w:vAlign w:val="center"/>
          </w:tcPr>
          <w:p w:rsidR="00B76426" w:rsidRPr="00B76426" w:rsidRDefault="00B76426" w:rsidP="00B76426">
            <w:pPr>
              <w:jc w:val="right"/>
              <w:rPr>
                <w:rFonts w:cs="Arial"/>
                <w:sz w:val="22"/>
                <w:szCs w:val="22"/>
                <w:lang w:eastAsia="en-GB"/>
              </w:rPr>
            </w:pPr>
            <w:r w:rsidRPr="00B76426">
              <w:rPr>
                <w:rFonts w:cs="Arial"/>
                <w:sz w:val="22"/>
                <w:szCs w:val="22"/>
                <w:lang w:eastAsia="en-GB"/>
              </w:rPr>
              <w:t>-111</w:t>
            </w:r>
          </w:p>
        </w:tc>
      </w:tr>
      <w:tr w:rsidR="00B76426" w:rsidRPr="00B76426" w:rsidTr="00B76426">
        <w:trPr>
          <w:trHeight w:val="387"/>
        </w:trPr>
        <w:tc>
          <w:tcPr>
            <w:tcW w:w="2802" w:type="dxa"/>
            <w:shd w:val="clear" w:color="auto" w:fill="auto"/>
            <w:vAlign w:val="center"/>
            <w:hideMark/>
          </w:tcPr>
          <w:p w:rsidR="00B76426" w:rsidRPr="00B76426" w:rsidRDefault="00B76426" w:rsidP="00B76426">
            <w:pPr>
              <w:rPr>
                <w:rFonts w:cs="Arial"/>
                <w:color w:val="000000"/>
                <w:sz w:val="22"/>
                <w:szCs w:val="22"/>
                <w:lang w:eastAsia="en-GB"/>
              </w:rPr>
            </w:pPr>
            <w:r w:rsidRPr="00B76426">
              <w:rPr>
                <w:rFonts w:cs="Arial"/>
                <w:color w:val="000000"/>
                <w:sz w:val="22"/>
                <w:szCs w:val="22"/>
                <w:lang w:eastAsia="en-GB"/>
              </w:rPr>
              <w:t>Balance c/</w:t>
            </w:r>
            <w:proofErr w:type="spellStart"/>
            <w:r w:rsidRPr="00B76426">
              <w:rPr>
                <w:rFonts w:cs="Arial"/>
                <w:color w:val="000000"/>
                <w:sz w:val="22"/>
                <w:szCs w:val="22"/>
                <w:lang w:eastAsia="en-GB"/>
              </w:rPr>
              <w:t>fwd</w:t>
            </w:r>
            <w:proofErr w:type="spellEnd"/>
            <w:r w:rsidRPr="00B76426">
              <w:rPr>
                <w:rFonts w:cs="Arial"/>
                <w:color w:val="000000"/>
                <w:sz w:val="22"/>
                <w:szCs w:val="22"/>
                <w:lang w:eastAsia="en-GB"/>
              </w:rPr>
              <w:t xml:space="preserve"> </w:t>
            </w:r>
          </w:p>
        </w:tc>
        <w:tc>
          <w:tcPr>
            <w:tcW w:w="1417" w:type="dxa"/>
            <w:shd w:val="clear" w:color="000000" w:fill="FFFFFF"/>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-4,962</w:t>
            </w:r>
          </w:p>
        </w:tc>
        <w:tc>
          <w:tcPr>
            <w:tcW w:w="1418" w:type="dxa"/>
            <w:shd w:val="clear" w:color="000000" w:fill="FFFFFF"/>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-4,996</w:t>
            </w:r>
          </w:p>
        </w:tc>
        <w:tc>
          <w:tcPr>
            <w:tcW w:w="1275" w:type="dxa"/>
            <w:shd w:val="clear" w:color="auto" w:fill="auto"/>
            <w:vAlign w:val="center"/>
            <w:hideMark/>
          </w:tcPr>
          <w:p w:rsidR="00B76426" w:rsidRPr="00B76426" w:rsidRDefault="00B76426" w:rsidP="00B76426">
            <w:pPr>
              <w:jc w:val="right"/>
              <w:rPr>
                <w:rFonts w:cs="Arial"/>
                <w:sz w:val="22"/>
                <w:szCs w:val="22"/>
                <w:lang w:eastAsia="en-GB"/>
              </w:rPr>
            </w:pPr>
            <w:r w:rsidRPr="00B76426">
              <w:rPr>
                <w:rFonts w:cs="Arial"/>
                <w:sz w:val="22"/>
                <w:szCs w:val="22"/>
                <w:lang w:eastAsia="en-GB"/>
              </w:rPr>
              <w:t> </w:t>
            </w:r>
          </w:p>
        </w:tc>
        <w:tc>
          <w:tcPr>
            <w:tcW w:w="1276" w:type="dxa"/>
            <w:shd w:val="clear" w:color="000000" w:fill="FFFFFF"/>
            <w:vAlign w:val="center"/>
          </w:tcPr>
          <w:p w:rsidR="00B76426" w:rsidRPr="00B76426" w:rsidRDefault="00B76426" w:rsidP="00B76426">
            <w:pPr>
              <w:jc w:val="right"/>
              <w:rPr>
                <w:rFonts w:cs="Arial"/>
                <w:sz w:val="22"/>
                <w:szCs w:val="22"/>
                <w:lang w:eastAsia="en-GB"/>
              </w:rPr>
            </w:pPr>
            <w:r w:rsidRPr="00B76426">
              <w:rPr>
                <w:rFonts w:cs="Arial"/>
                <w:sz w:val="22"/>
                <w:szCs w:val="22"/>
                <w:lang w:eastAsia="en-GB"/>
              </w:rPr>
              <w:t>-5,297</w:t>
            </w:r>
          </w:p>
        </w:tc>
        <w:tc>
          <w:tcPr>
            <w:tcW w:w="1158" w:type="dxa"/>
            <w:shd w:val="clear" w:color="000000" w:fill="FFFFFF"/>
            <w:vAlign w:val="center"/>
          </w:tcPr>
          <w:p w:rsidR="00B76426" w:rsidRPr="00B76426" w:rsidRDefault="00B76426" w:rsidP="00B76426">
            <w:pPr>
              <w:jc w:val="right"/>
              <w:rPr>
                <w:rFonts w:cs="Arial"/>
                <w:sz w:val="22"/>
                <w:szCs w:val="22"/>
                <w:lang w:eastAsia="en-GB"/>
              </w:rPr>
            </w:pPr>
            <w:r w:rsidRPr="00B76426">
              <w:rPr>
                <w:rFonts w:cs="Arial"/>
                <w:sz w:val="22"/>
                <w:szCs w:val="22"/>
                <w:lang w:eastAsia="en-GB"/>
              </w:rPr>
              <w:t>-301</w:t>
            </w:r>
          </w:p>
        </w:tc>
      </w:tr>
    </w:tbl>
    <w:p w:rsidR="00B76426" w:rsidRPr="00B76426" w:rsidRDefault="00B76426" w:rsidP="00B76426">
      <w:pPr>
        <w:jc w:val="both"/>
        <w:rPr>
          <w:rFonts w:cs="Arial"/>
          <w:b/>
          <w:szCs w:val="24"/>
          <w:highlight w:val="cyan"/>
        </w:rPr>
      </w:pPr>
    </w:p>
    <w:p w:rsidR="00B76426" w:rsidRDefault="00B76426" w:rsidP="00B76426">
      <w:pPr>
        <w:numPr>
          <w:ilvl w:val="0"/>
          <w:numId w:val="9"/>
        </w:numPr>
        <w:ind w:hanging="720"/>
        <w:rPr>
          <w:rFonts w:cs="Arial"/>
          <w:szCs w:val="24"/>
          <w:lang w:eastAsia="en-GB"/>
        </w:rPr>
      </w:pPr>
      <w:r w:rsidRPr="00B76426">
        <w:rPr>
          <w:rFonts w:cs="Arial"/>
          <w:szCs w:val="24"/>
          <w:lang w:eastAsia="en-GB"/>
        </w:rPr>
        <w:t>Mitigations to alleviate pressures on HRA budgets have already been put in place and included in the forecasts in the form of capitalisation of Housing Regeneration costs associated with the Affordable Housing programme. The mitigations in place for the Housing General Fund place additional cost of £90k onto HRA, and these are included in the above forecasts.</w:t>
      </w:r>
    </w:p>
    <w:p w:rsidR="00E81CDB" w:rsidRPr="00B76426" w:rsidRDefault="00E81CDB" w:rsidP="00E81CDB">
      <w:pPr>
        <w:numPr>
          <w:ilvl w:val="0"/>
          <w:numId w:val="9"/>
        </w:numPr>
        <w:spacing w:before="240"/>
        <w:ind w:hanging="720"/>
        <w:rPr>
          <w:rFonts w:cs="Arial"/>
          <w:szCs w:val="24"/>
          <w:lang w:eastAsia="en-GB"/>
        </w:rPr>
      </w:pPr>
      <w:r w:rsidRPr="00E81CDB">
        <w:rPr>
          <w:rFonts w:cs="Arial"/>
          <w:szCs w:val="24"/>
          <w:lang w:eastAsia="en-GB"/>
        </w:rPr>
        <w:t xml:space="preserve">Following a review of its debts, the Housing Service has identified amounts in the Housing Revenue Account totalling £32k which </w:t>
      </w:r>
      <w:proofErr w:type="gramStart"/>
      <w:r w:rsidRPr="00E81CDB">
        <w:rPr>
          <w:rFonts w:cs="Arial"/>
          <w:szCs w:val="24"/>
          <w:lang w:eastAsia="en-GB"/>
        </w:rPr>
        <w:t>are</w:t>
      </w:r>
      <w:proofErr w:type="gramEnd"/>
      <w:r w:rsidRPr="00E81CDB">
        <w:rPr>
          <w:rFonts w:cs="Arial"/>
          <w:szCs w:val="24"/>
          <w:lang w:eastAsia="en-GB"/>
        </w:rPr>
        <w:t xml:space="preserve"> no longer considered recoverable, £20k of which relates to deceased tenants, with the remainder due to tenants not traceable following exhaustion of all approved channels, or being in prison. These debts have already been provided for and represent no additional charge to HRA balances. In line with the Council’s debt management policy, it is recommended </w:t>
      </w:r>
      <w:r>
        <w:rPr>
          <w:rFonts w:cs="Arial"/>
          <w:szCs w:val="24"/>
          <w:lang w:eastAsia="en-GB"/>
        </w:rPr>
        <w:t xml:space="preserve">Cabinet approves the write off of this amount. </w:t>
      </w:r>
    </w:p>
    <w:p w:rsidR="002C672F" w:rsidRDefault="002C672F" w:rsidP="00741AEB">
      <w:pPr>
        <w:keepNext/>
        <w:spacing w:after="60"/>
        <w:ind w:left="16"/>
        <w:outlineLvl w:val="0"/>
        <w:rPr>
          <w:rFonts w:cs="Arial"/>
          <w:b/>
          <w:bCs/>
          <w:kern w:val="32"/>
          <w:szCs w:val="24"/>
        </w:rPr>
      </w:pPr>
    </w:p>
    <w:p w:rsidR="00741AEB" w:rsidRDefault="00AF6F1B" w:rsidP="003D460D">
      <w:pPr>
        <w:keepNext/>
        <w:spacing w:after="120"/>
        <w:ind w:left="16"/>
        <w:outlineLvl w:val="0"/>
        <w:rPr>
          <w:rFonts w:cs="Arial"/>
          <w:b/>
          <w:bCs/>
          <w:kern w:val="32"/>
          <w:szCs w:val="24"/>
        </w:rPr>
      </w:pPr>
      <w:r>
        <w:rPr>
          <w:rFonts w:cs="Arial"/>
          <w:b/>
          <w:bCs/>
          <w:kern w:val="32"/>
          <w:szCs w:val="24"/>
        </w:rPr>
        <w:t>PEOPLE</w:t>
      </w:r>
      <w:r w:rsidR="002C672F">
        <w:rPr>
          <w:rFonts w:cs="Arial"/>
          <w:b/>
          <w:bCs/>
          <w:kern w:val="32"/>
          <w:szCs w:val="24"/>
        </w:rPr>
        <w:t xml:space="preserve"> DIRECTORATE</w:t>
      </w:r>
    </w:p>
    <w:p w:rsidR="00741AEB" w:rsidRDefault="00B63C98" w:rsidP="00D44E09">
      <w:pPr>
        <w:numPr>
          <w:ilvl w:val="0"/>
          <w:numId w:val="9"/>
        </w:numPr>
        <w:ind w:hanging="720"/>
        <w:rPr>
          <w:rFonts w:cs="Arial"/>
          <w:szCs w:val="24"/>
        </w:rPr>
      </w:pPr>
      <w:r w:rsidRPr="00EB58F7">
        <w:t xml:space="preserve">The </w:t>
      </w:r>
      <w:r>
        <w:t>People’s</w:t>
      </w:r>
      <w:r w:rsidRPr="00EB58F7">
        <w:t xml:space="preserve"> Directorate is forecasting an over spend of </w:t>
      </w:r>
      <w:r w:rsidRPr="00FA6AAF">
        <w:t>£0.549m</w:t>
      </w:r>
      <w:r w:rsidRPr="00EB58F7">
        <w:t xml:space="preserve"> at </w:t>
      </w:r>
      <w:r>
        <w:t>Quarter 3</w:t>
      </w:r>
      <w:r w:rsidR="000A4437">
        <w:rPr>
          <w:rFonts w:cs="Arial"/>
          <w:szCs w:val="24"/>
        </w:rPr>
        <w:t>. This is a</w:t>
      </w:r>
      <w:r>
        <w:rPr>
          <w:rFonts w:cs="Arial"/>
          <w:szCs w:val="24"/>
        </w:rPr>
        <w:t xml:space="preserve"> deterioration of £455k since Quarter 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83"/>
        <w:gridCol w:w="1579"/>
        <w:gridCol w:w="1589"/>
        <w:gridCol w:w="1364"/>
      </w:tblGrid>
      <w:tr w:rsidR="008615DF" w:rsidRPr="00CB1A89" w:rsidTr="008615DF">
        <w:tc>
          <w:tcPr>
            <w:tcW w:w="1435" w:type="dxa"/>
          </w:tcPr>
          <w:p w:rsidR="008615DF" w:rsidRPr="00CB1A89" w:rsidRDefault="008615DF" w:rsidP="008615DF">
            <w:pPr>
              <w:jc w:val="center"/>
              <w:rPr>
                <w:rFonts w:cs="Arial"/>
                <w:szCs w:val="24"/>
              </w:rPr>
            </w:pPr>
          </w:p>
        </w:tc>
        <w:tc>
          <w:tcPr>
            <w:tcW w:w="1549" w:type="dxa"/>
            <w:shd w:val="clear" w:color="auto" w:fill="auto"/>
          </w:tcPr>
          <w:p w:rsidR="008615DF" w:rsidRPr="00CB1A89" w:rsidRDefault="008615DF" w:rsidP="008615DF">
            <w:pPr>
              <w:jc w:val="center"/>
              <w:rPr>
                <w:rFonts w:cs="Arial"/>
                <w:szCs w:val="24"/>
              </w:rPr>
            </w:pPr>
            <w:r w:rsidRPr="00CB1A89">
              <w:rPr>
                <w:rFonts w:cs="Arial"/>
                <w:szCs w:val="24"/>
              </w:rPr>
              <w:t>Q2 (to 30.9.15)</w:t>
            </w:r>
          </w:p>
          <w:p w:rsidR="008615DF" w:rsidRPr="00CB1A89" w:rsidRDefault="008615DF" w:rsidP="008615DF">
            <w:pPr>
              <w:jc w:val="center"/>
              <w:rPr>
                <w:rFonts w:cs="Arial"/>
                <w:szCs w:val="24"/>
              </w:rPr>
            </w:pPr>
            <w:r w:rsidRPr="00CB1A89">
              <w:rPr>
                <w:rFonts w:cs="Arial"/>
                <w:szCs w:val="24"/>
              </w:rPr>
              <w:lastRenderedPageBreak/>
              <w:t xml:space="preserve">Variance </w:t>
            </w:r>
          </w:p>
          <w:p w:rsidR="008615DF" w:rsidRPr="00CB1A89" w:rsidRDefault="008615DF" w:rsidP="008615DF">
            <w:pPr>
              <w:jc w:val="center"/>
              <w:rPr>
                <w:rFonts w:cs="Arial"/>
                <w:szCs w:val="24"/>
              </w:rPr>
            </w:pPr>
            <w:r w:rsidRPr="00CB1A89">
              <w:rPr>
                <w:rFonts w:cs="Arial"/>
                <w:szCs w:val="24"/>
              </w:rPr>
              <w:t>£000</w:t>
            </w:r>
          </w:p>
        </w:tc>
        <w:tc>
          <w:tcPr>
            <w:tcW w:w="1651" w:type="dxa"/>
            <w:shd w:val="clear" w:color="auto" w:fill="auto"/>
          </w:tcPr>
          <w:p w:rsidR="008615DF" w:rsidRPr="00CB1A89" w:rsidRDefault="008615DF" w:rsidP="008615DF">
            <w:pPr>
              <w:jc w:val="center"/>
              <w:rPr>
                <w:rFonts w:cs="Arial"/>
                <w:szCs w:val="24"/>
              </w:rPr>
            </w:pPr>
            <w:r w:rsidRPr="00CB1A89">
              <w:rPr>
                <w:rFonts w:cs="Arial"/>
                <w:szCs w:val="24"/>
              </w:rPr>
              <w:lastRenderedPageBreak/>
              <w:t>Q3 (to 31.12.15)</w:t>
            </w:r>
          </w:p>
          <w:p w:rsidR="008615DF" w:rsidRPr="00CB1A89" w:rsidRDefault="008615DF" w:rsidP="008615DF">
            <w:pPr>
              <w:jc w:val="center"/>
              <w:rPr>
                <w:rFonts w:cs="Arial"/>
                <w:szCs w:val="24"/>
              </w:rPr>
            </w:pPr>
            <w:r w:rsidRPr="00CB1A89">
              <w:rPr>
                <w:rFonts w:cs="Arial"/>
                <w:szCs w:val="24"/>
              </w:rPr>
              <w:lastRenderedPageBreak/>
              <w:t>Variance</w:t>
            </w:r>
          </w:p>
          <w:p w:rsidR="008615DF" w:rsidRPr="00CB1A89" w:rsidRDefault="008615DF" w:rsidP="008615DF">
            <w:pPr>
              <w:jc w:val="center"/>
              <w:rPr>
                <w:rFonts w:cs="Arial"/>
                <w:szCs w:val="24"/>
              </w:rPr>
            </w:pPr>
            <w:r w:rsidRPr="00CB1A89">
              <w:rPr>
                <w:rFonts w:cs="Arial"/>
                <w:szCs w:val="24"/>
              </w:rPr>
              <w:t>£000</w:t>
            </w:r>
          </w:p>
        </w:tc>
        <w:tc>
          <w:tcPr>
            <w:tcW w:w="1641" w:type="dxa"/>
            <w:shd w:val="clear" w:color="auto" w:fill="auto"/>
          </w:tcPr>
          <w:p w:rsidR="008615DF" w:rsidRPr="00CB1A89" w:rsidRDefault="008615DF" w:rsidP="008615DF">
            <w:pPr>
              <w:jc w:val="center"/>
              <w:rPr>
                <w:rFonts w:cs="Arial"/>
                <w:szCs w:val="24"/>
              </w:rPr>
            </w:pPr>
            <w:r w:rsidRPr="00CB1A89">
              <w:rPr>
                <w:rFonts w:cs="Arial"/>
                <w:szCs w:val="24"/>
              </w:rPr>
              <w:lastRenderedPageBreak/>
              <w:t>Movement</w:t>
            </w:r>
          </w:p>
          <w:p w:rsidR="008615DF" w:rsidRPr="00CB1A89" w:rsidRDefault="008615DF" w:rsidP="008615DF">
            <w:pPr>
              <w:jc w:val="center"/>
              <w:rPr>
                <w:rFonts w:cs="Arial"/>
                <w:szCs w:val="24"/>
              </w:rPr>
            </w:pPr>
          </w:p>
          <w:p w:rsidR="008615DF" w:rsidRDefault="008615DF" w:rsidP="008615DF">
            <w:pPr>
              <w:jc w:val="center"/>
              <w:rPr>
                <w:rFonts w:cs="Arial"/>
                <w:szCs w:val="24"/>
              </w:rPr>
            </w:pPr>
          </w:p>
          <w:p w:rsidR="008615DF" w:rsidRPr="00CB1A89" w:rsidRDefault="008615DF" w:rsidP="008615DF">
            <w:pPr>
              <w:jc w:val="center"/>
              <w:rPr>
                <w:rFonts w:cs="Arial"/>
                <w:szCs w:val="24"/>
              </w:rPr>
            </w:pPr>
            <w:r w:rsidRPr="00CB1A89">
              <w:rPr>
                <w:rFonts w:cs="Arial"/>
                <w:szCs w:val="24"/>
              </w:rPr>
              <w:t>£000</w:t>
            </w:r>
          </w:p>
        </w:tc>
        <w:tc>
          <w:tcPr>
            <w:tcW w:w="1148" w:type="dxa"/>
          </w:tcPr>
          <w:p w:rsidR="008615DF" w:rsidRDefault="008615DF" w:rsidP="008615DF">
            <w:pPr>
              <w:jc w:val="center"/>
              <w:rPr>
                <w:rFonts w:cs="Arial"/>
                <w:szCs w:val="24"/>
              </w:rPr>
            </w:pPr>
            <w:r>
              <w:rPr>
                <w:rFonts w:cs="Arial"/>
                <w:szCs w:val="24"/>
              </w:rPr>
              <w:lastRenderedPageBreak/>
              <w:t xml:space="preserve">One-off income / </w:t>
            </w:r>
            <w:r>
              <w:rPr>
                <w:rFonts w:cs="Arial"/>
                <w:szCs w:val="24"/>
              </w:rPr>
              <w:lastRenderedPageBreak/>
              <w:t>earmarked reserves included</w:t>
            </w:r>
          </w:p>
          <w:p w:rsidR="008615DF" w:rsidRPr="00CB1A89" w:rsidRDefault="008615DF" w:rsidP="008615DF">
            <w:pPr>
              <w:jc w:val="center"/>
              <w:rPr>
                <w:rFonts w:cs="Arial"/>
                <w:szCs w:val="24"/>
              </w:rPr>
            </w:pPr>
            <w:r>
              <w:rPr>
                <w:rFonts w:cs="Arial"/>
                <w:szCs w:val="24"/>
              </w:rPr>
              <w:t>£000</w:t>
            </w:r>
          </w:p>
        </w:tc>
      </w:tr>
      <w:tr w:rsidR="008615DF" w:rsidRPr="00CB1A89" w:rsidTr="008615DF">
        <w:tc>
          <w:tcPr>
            <w:tcW w:w="1435" w:type="dxa"/>
          </w:tcPr>
          <w:p w:rsidR="008615DF" w:rsidRPr="00CB1A89" w:rsidRDefault="008615DF" w:rsidP="008615DF">
            <w:pPr>
              <w:rPr>
                <w:rFonts w:cs="Arial"/>
                <w:szCs w:val="24"/>
              </w:rPr>
            </w:pPr>
            <w:r>
              <w:rPr>
                <w:rFonts w:cs="Arial"/>
                <w:szCs w:val="24"/>
              </w:rPr>
              <w:lastRenderedPageBreak/>
              <w:t>Adults</w:t>
            </w:r>
          </w:p>
        </w:tc>
        <w:tc>
          <w:tcPr>
            <w:tcW w:w="1549" w:type="dxa"/>
            <w:shd w:val="clear" w:color="auto" w:fill="auto"/>
          </w:tcPr>
          <w:p w:rsidR="008615DF" w:rsidRPr="00CB1A89" w:rsidRDefault="005E0018" w:rsidP="008615DF">
            <w:pPr>
              <w:jc w:val="center"/>
              <w:rPr>
                <w:rFonts w:cs="Arial"/>
                <w:szCs w:val="24"/>
              </w:rPr>
            </w:pPr>
            <w:r>
              <w:rPr>
                <w:rFonts w:cs="Arial"/>
                <w:szCs w:val="24"/>
              </w:rPr>
              <w:t>54</w:t>
            </w:r>
          </w:p>
        </w:tc>
        <w:tc>
          <w:tcPr>
            <w:tcW w:w="1651" w:type="dxa"/>
            <w:shd w:val="clear" w:color="auto" w:fill="auto"/>
          </w:tcPr>
          <w:p w:rsidR="008615DF" w:rsidRPr="00CB1A89" w:rsidRDefault="005E0018" w:rsidP="008615DF">
            <w:pPr>
              <w:jc w:val="center"/>
              <w:rPr>
                <w:rFonts w:cs="Arial"/>
                <w:szCs w:val="24"/>
              </w:rPr>
            </w:pPr>
            <w:r>
              <w:rPr>
                <w:rFonts w:cs="Arial"/>
                <w:szCs w:val="24"/>
              </w:rPr>
              <w:t>302</w:t>
            </w:r>
          </w:p>
        </w:tc>
        <w:tc>
          <w:tcPr>
            <w:tcW w:w="1641" w:type="dxa"/>
            <w:shd w:val="clear" w:color="auto" w:fill="auto"/>
          </w:tcPr>
          <w:p w:rsidR="008615DF" w:rsidRPr="00CB1A89" w:rsidRDefault="005E0018" w:rsidP="008615DF">
            <w:pPr>
              <w:jc w:val="center"/>
              <w:rPr>
                <w:rFonts w:cs="Arial"/>
                <w:szCs w:val="24"/>
              </w:rPr>
            </w:pPr>
            <w:r>
              <w:rPr>
                <w:rFonts w:cs="Arial"/>
                <w:szCs w:val="24"/>
              </w:rPr>
              <w:t>248</w:t>
            </w:r>
          </w:p>
        </w:tc>
        <w:tc>
          <w:tcPr>
            <w:tcW w:w="1148" w:type="dxa"/>
          </w:tcPr>
          <w:p w:rsidR="008615DF" w:rsidRPr="00CB1A89" w:rsidRDefault="005E0018" w:rsidP="008615DF">
            <w:pPr>
              <w:jc w:val="center"/>
              <w:rPr>
                <w:rFonts w:cs="Arial"/>
                <w:szCs w:val="24"/>
              </w:rPr>
            </w:pPr>
            <w:r>
              <w:rPr>
                <w:rFonts w:cs="Arial"/>
                <w:szCs w:val="24"/>
              </w:rPr>
              <w:t>0</w:t>
            </w:r>
          </w:p>
        </w:tc>
      </w:tr>
      <w:tr w:rsidR="008615DF" w:rsidRPr="00CB1A89" w:rsidTr="008615DF">
        <w:tc>
          <w:tcPr>
            <w:tcW w:w="1435" w:type="dxa"/>
          </w:tcPr>
          <w:p w:rsidR="008615DF" w:rsidRDefault="008615DF" w:rsidP="008615DF">
            <w:pPr>
              <w:rPr>
                <w:rFonts w:cs="Arial"/>
                <w:szCs w:val="24"/>
              </w:rPr>
            </w:pPr>
            <w:r>
              <w:rPr>
                <w:rFonts w:cs="Arial"/>
                <w:szCs w:val="24"/>
              </w:rPr>
              <w:t>Adults Trans</w:t>
            </w:r>
          </w:p>
        </w:tc>
        <w:tc>
          <w:tcPr>
            <w:tcW w:w="1549" w:type="dxa"/>
            <w:shd w:val="clear" w:color="auto" w:fill="auto"/>
          </w:tcPr>
          <w:p w:rsidR="008615DF" w:rsidRPr="00CB1A89" w:rsidRDefault="005E0018" w:rsidP="008615DF">
            <w:pPr>
              <w:jc w:val="center"/>
              <w:rPr>
                <w:rFonts w:cs="Arial"/>
                <w:szCs w:val="24"/>
              </w:rPr>
            </w:pPr>
            <w:r>
              <w:rPr>
                <w:rFonts w:cs="Arial"/>
                <w:szCs w:val="24"/>
              </w:rPr>
              <w:t>40</w:t>
            </w:r>
          </w:p>
        </w:tc>
        <w:tc>
          <w:tcPr>
            <w:tcW w:w="1651" w:type="dxa"/>
            <w:shd w:val="clear" w:color="auto" w:fill="auto"/>
          </w:tcPr>
          <w:p w:rsidR="008615DF" w:rsidRPr="00CB1A89" w:rsidRDefault="005E0018" w:rsidP="008615DF">
            <w:pPr>
              <w:jc w:val="center"/>
              <w:rPr>
                <w:rFonts w:cs="Arial"/>
                <w:szCs w:val="24"/>
              </w:rPr>
            </w:pPr>
            <w:r>
              <w:rPr>
                <w:rFonts w:cs="Arial"/>
                <w:szCs w:val="24"/>
              </w:rPr>
              <w:t>40</w:t>
            </w:r>
          </w:p>
        </w:tc>
        <w:tc>
          <w:tcPr>
            <w:tcW w:w="1641" w:type="dxa"/>
            <w:shd w:val="clear" w:color="auto" w:fill="auto"/>
          </w:tcPr>
          <w:p w:rsidR="008615DF" w:rsidRPr="00CB1A89" w:rsidRDefault="005E0018" w:rsidP="008615DF">
            <w:pPr>
              <w:jc w:val="center"/>
              <w:rPr>
                <w:rFonts w:cs="Arial"/>
                <w:szCs w:val="24"/>
              </w:rPr>
            </w:pPr>
            <w:r>
              <w:rPr>
                <w:rFonts w:cs="Arial"/>
                <w:szCs w:val="24"/>
              </w:rPr>
              <w:t>0</w:t>
            </w:r>
          </w:p>
        </w:tc>
        <w:tc>
          <w:tcPr>
            <w:tcW w:w="1148" w:type="dxa"/>
          </w:tcPr>
          <w:p w:rsidR="008615DF" w:rsidRDefault="005E0018" w:rsidP="008615DF">
            <w:pPr>
              <w:jc w:val="center"/>
              <w:rPr>
                <w:rFonts w:cs="Arial"/>
                <w:szCs w:val="24"/>
              </w:rPr>
            </w:pPr>
            <w:r>
              <w:rPr>
                <w:rFonts w:cs="Arial"/>
                <w:szCs w:val="24"/>
              </w:rPr>
              <w:t>0</w:t>
            </w:r>
          </w:p>
        </w:tc>
      </w:tr>
      <w:tr w:rsidR="008615DF" w:rsidRPr="00CB1A89" w:rsidTr="008615DF">
        <w:tc>
          <w:tcPr>
            <w:tcW w:w="1435" w:type="dxa"/>
          </w:tcPr>
          <w:p w:rsidR="008615DF" w:rsidRDefault="005E0018" w:rsidP="008615DF">
            <w:pPr>
              <w:rPr>
                <w:rFonts w:cs="Arial"/>
                <w:szCs w:val="24"/>
              </w:rPr>
            </w:pPr>
            <w:r>
              <w:rPr>
                <w:rFonts w:cs="Arial"/>
                <w:szCs w:val="24"/>
              </w:rPr>
              <w:t>Public Health</w:t>
            </w:r>
          </w:p>
        </w:tc>
        <w:tc>
          <w:tcPr>
            <w:tcW w:w="1549" w:type="dxa"/>
            <w:shd w:val="clear" w:color="auto" w:fill="auto"/>
          </w:tcPr>
          <w:p w:rsidR="008615DF" w:rsidRPr="00CB1A89" w:rsidRDefault="005E0018" w:rsidP="008615DF">
            <w:pPr>
              <w:jc w:val="center"/>
              <w:rPr>
                <w:rFonts w:cs="Arial"/>
                <w:szCs w:val="24"/>
              </w:rPr>
            </w:pPr>
            <w:r>
              <w:rPr>
                <w:rFonts w:cs="Arial"/>
                <w:szCs w:val="24"/>
              </w:rPr>
              <w:t>0</w:t>
            </w:r>
          </w:p>
        </w:tc>
        <w:tc>
          <w:tcPr>
            <w:tcW w:w="1651" w:type="dxa"/>
            <w:shd w:val="clear" w:color="auto" w:fill="auto"/>
          </w:tcPr>
          <w:p w:rsidR="008615DF" w:rsidRPr="00CB1A89" w:rsidRDefault="005E0018" w:rsidP="008615DF">
            <w:pPr>
              <w:jc w:val="center"/>
              <w:rPr>
                <w:rFonts w:cs="Arial"/>
                <w:szCs w:val="24"/>
              </w:rPr>
            </w:pPr>
            <w:r>
              <w:rPr>
                <w:rFonts w:cs="Arial"/>
                <w:szCs w:val="24"/>
              </w:rPr>
              <w:t>0</w:t>
            </w:r>
          </w:p>
        </w:tc>
        <w:tc>
          <w:tcPr>
            <w:tcW w:w="1641" w:type="dxa"/>
            <w:shd w:val="clear" w:color="auto" w:fill="auto"/>
          </w:tcPr>
          <w:p w:rsidR="008615DF" w:rsidRPr="00CB1A89" w:rsidRDefault="005E0018" w:rsidP="008615DF">
            <w:pPr>
              <w:jc w:val="center"/>
              <w:rPr>
                <w:rFonts w:cs="Arial"/>
                <w:szCs w:val="24"/>
              </w:rPr>
            </w:pPr>
            <w:r>
              <w:rPr>
                <w:rFonts w:cs="Arial"/>
                <w:szCs w:val="24"/>
              </w:rPr>
              <w:t>0</w:t>
            </w:r>
          </w:p>
        </w:tc>
        <w:tc>
          <w:tcPr>
            <w:tcW w:w="1148" w:type="dxa"/>
          </w:tcPr>
          <w:p w:rsidR="008615DF" w:rsidRDefault="005E0018" w:rsidP="008615DF">
            <w:pPr>
              <w:jc w:val="center"/>
              <w:rPr>
                <w:rFonts w:cs="Arial"/>
                <w:szCs w:val="24"/>
              </w:rPr>
            </w:pPr>
            <w:r>
              <w:rPr>
                <w:rFonts w:cs="Arial"/>
                <w:szCs w:val="24"/>
              </w:rPr>
              <w:t>0</w:t>
            </w:r>
          </w:p>
        </w:tc>
      </w:tr>
      <w:tr w:rsidR="005E0018" w:rsidRPr="00CB1A89" w:rsidTr="008615DF">
        <w:tc>
          <w:tcPr>
            <w:tcW w:w="1435" w:type="dxa"/>
          </w:tcPr>
          <w:p w:rsidR="005E0018" w:rsidRDefault="005E0018" w:rsidP="008615DF">
            <w:pPr>
              <w:rPr>
                <w:rFonts w:cs="Arial"/>
                <w:szCs w:val="24"/>
              </w:rPr>
            </w:pPr>
            <w:r>
              <w:rPr>
                <w:rFonts w:cs="Arial"/>
                <w:szCs w:val="24"/>
              </w:rPr>
              <w:t>Children</w:t>
            </w:r>
          </w:p>
        </w:tc>
        <w:tc>
          <w:tcPr>
            <w:tcW w:w="1549" w:type="dxa"/>
            <w:shd w:val="clear" w:color="auto" w:fill="auto"/>
          </w:tcPr>
          <w:p w:rsidR="005E0018" w:rsidRDefault="005E0018" w:rsidP="008615DF">
            <w:pPr>
              <w:jc w:val="center"/>
              <w:rPr>
                <w:rFonts w:cs="Arial"/>
                <w:szCs w:val="24"/>
              </w:rPr>
            </w:pPr>
            <w:r>
              <w:rPr>
                <w:rFonts w:cs="Arial"/>
                <w:szCs w:val="24"/>
              </w:rPr>
              <w:t>866</w:t>
            </w:r>
          </w:p>
        </w:tc>
        <w:tc>
          <w:tcPr>
            <w:tcW w:w="1651" w:type="dxa"/>
            <w:shd w:val="clear" w:color="auto" w:fill="auto"/>
          </w:tcPr>
          <w:p w:rsidR="005E0018" w:rsidRDefault="005E0018" w:rsidP="008615DF">
            <w:pPr>
              <w:jc w:val="center"/>
              <w:rPr>
                <w:rFonts w:cs="Arial"/>
                <w:szCs w:val="24"/>
              </w:rPr>
            </w:pPr>
            <w:r>
              <w:rPr>
                <w:rFonts w:cs="Arial"/>
                <w:szCs w:val="24"/>
              </w:rPr>
              <w:t>1,073</w:t>
            </w:r>
          </w:p>
        </w:tc>
        <w:tc>
          <w:tcPr>
            <w:tcW w:w="1641" w:type="dxa"/>
            <w:shd w:val="clear" w:color="auto" w:fill="auto"/>
          </w:tcPr>
          <w:p w:rsidR="005E0018" w:rsidRDefault="005E0018" w:rsidP="008615DF">
            <w:pPr>
              <w:jc w:val="center"/>
              <w:rPr>
                <w:rFonts w:cs="Arial"/>
                <w:szCs w:val="24"/>
              </w:rPr>
            </w:pPr>
            <w:r>
              <w:rPr>
                <w:rFonts w:cs="Arial"/>
                <w:szCs w:val="24"/>
              </w:rPr>
              <w:t>207</w:t>
            </w:r>
          </w:p>
        </w:tc>
        <w:tc>
          <w:tcPr>
            <w:tcW w:w="1148" w:type="dxa"/>
          </w:tcPr>
          <w:p w:rsidR="005E0018" w:rsidRDefault="005E0018" w:rsidP="008615DF">
            <w:pPr>
              <w:jc w:val="center"/>
              <w:rPr>
                <w:rFonts w:cs="Arial"/>
                <w:szCs w:val="24"/>
              </w:rPr>
            </w:pPr>
            <w:r>
              <w:rPr>
                <w:rFonts w:cs="Arial"/>
                <w:szCs w:val="24"/>
              </w:rPr>
              <w:t>0</w:t>
            </w:r>
          </w:p>
        </w:tc>
      </w:tr>
      <w:tr w:rsidR="005E0018" w:rsidRPr="00CB1A89" w:rsidTr="008615DF">
        <w:tc>
          <w:tcPr>
            <w:tcW w:w="1435" w:type="dxa"/>
          </w:tcPr>
          <w:p w:rsidR="005E0018" w:rsidRDefault="005E0018" w:rsidP="00AC20C2">
            <w:pPr>
              <w:rPr>
                <w:rFonts w:cs="Arial"/>
                <w:szCs w:val="24"/>
              </w:rPr>
            </w:pPr>
            <w:r>
              <w:rPr>
                <w:rFonts w:cs="Arial"/>
                <w:szCs w:val="24"/>
              </w:rPr>
              <w:t>Children’s Social Care Reserve</w:t>
            </w:r>
          </w:p>
        </w:tc>
        <w:tc>
          <w:tcPr>
            <w:tcW w:w="1549" w:type="dxa"/>
            <w:shd w:val="clear" w:color="auto" w:fill="auto"/>
          </w:tcPr>
          <w:p w:rsidR="005E0018" w:rsidRDefault="005E0018" w:rsidP="008615DF">
            <w:pPr>
              <w:jc w:val="center"/>
              <w:rPr>
                <w:rFonts w:cs="Arial"/>
                <w:szCs w:val="24"/>
              </w:rPr>
            </w:pPr>
            <w:r>
              <w:rPr>
                <w:rFonts w:cs="Arial"/>
                <w:szCs w:val="24"/>
              </w:rPr>
              <w:t>(866)</w:t>
            </w:r>
          </w:p>
        </w:tc>
        <w:tc>
          <w:tcPr>
            <w:tcW w:w="1651" w:type="dxa"/>
            <w:shd w:val="clear" w:color="auto" w:fill="auto"/>
          </w:tcPr>
          <w:p w:rsidR="005E0018" w:rsidRDefault="005E0018" w:rsidP="008615DF">
            <w:pPr>
              <w:jc w:val="center"/>
              <w:rPr>
                <w:rFonts w:cs="Arial"/>
                <w:szCs w:val="24"/>
              </w:rPr>
            </w:pPr>
            <w:r>
              <w:rPr>
                <w:rFonts w:cs="Arial"/>
                <w:szCs w:val="24"/>
              </w:rPr>
              <w:t>(866)</w:t>
            </w:r>
          </w:p>
        </w:tc>
        <w:tc>
          <w:tcPr>
            <w:tcW w:w="1641" w:type="dxa"/>
            <w:shd w:val="clear" w:color="auto" w:fill="auto"/>
          </w:tcPr>
          <w:p w:rsidR="005E0018" w:rsidRDefault="005E0018" w:rsidP="008615DF">
            <w:pPr>
              <w:jc w:val="center"/>
              <w:rPr>
                <w:rFonts w:cs="Arial"/>
                <w:szCs w:val="24"/>
              </w:rPr>
            </w:pPr>
            <w:r>
              <w:rPr>
                <w:rFonts w:cs="Arial"/>
                <w:szCs w:val="24"/>
              </w:rPr>
              <w:t>0</w:t>
            </w:r>
          </w:p>
        </w:tc>
        <w:tc>
          <w:tcPr>
            <w:tcW w:w="1148" w:type="dxa"/>
          </w:tcPr>
          <w:p w:rsidR="005E0018" w:rsidRDefault="005E0018" w:rsidP="008615DF">
            <w:pPr>
              <w:jc w:val="center"/>
              <w:rPr>
                <w:rFonts w:cs="Arial"/>
                <w:szCs w:val="24"/>
              </w:rPr>
            </w:pPr>
            <w:r>
              <w:rPr>
                <w:rFonts w:cs="Arial"/>
                <w:szCs w:val="24"/>
              </w:rPr>
              <w:t>(866)</w:t>
            </w:r>
          </w:p>
        </w:tc>
      </w:tr>
      <w:tr w:rsidR="008615DF" w:rsidRPr="00697361" w:rsidTr="008615DF">
        <w:tc>
          <w:tcPr>
            <w:tcW w:w="1435" w:type="dxa"/>
          </w:tcPr>
          <w:p w:rsidR="008615DF" w:rsidRPr="00697361" w:rsidRDefault="008615DF" w:rsidP="008615DF">
            <w:pPr>
              <w:rPr>
                <w:rFonts w:cs="Arial"/>
                <w:b/>
                <w:szCs w:val="24"/>
              </w:rPr>
            </w:pPr>
            <w:r w:rsidRPr="00697361">
              <w:rPr>
                <w:rFonts w:cs="Arial"/>
                <w:b/>
                <w:szCs w:val="24"/>
              </w:rPr>
              <w:t>Total</w:t>
            </w:r>
          </w:p>
        </w:tc>
        <w:tc>
          <w:tcPr>
            <w:tcW w:w="1549" w:type="dxa"/>
            <w:shd w:val="clear" w:color="auto" w:fill="auto"/>
          </w:tcPr>
          <w:p w:rsidR="008615DF" w:rsidRPr="00697361" w:rsidRDefault="005E0018" w:rsidP="008615DF">
            <w:pPr>
              <w:jc w:val="center"/>
              <w:rPr>
                <w:rFonts w:cs="Arial"/>
                <w:b/>
                <w:szCs w:val="24"/>
              </w:rPr>
            </w:pPr>
            <w:r>
              <w:rPr>
                <w:rFonts w:cs="Arial"/>
                <w:b/>
                <w:szCs w:val="24"/>
              </w:rPr>
              <w:t>94</w:t>
            </w:r>
          </w:p>
        </w:tc>
        <w:tc>
          <w:tcPr>
            <w:tcW w:w="1651" w:type="dxa"/>
            <w:shd w:val="clear" w:color="auto" w:fill="auto"/>
          </w:tcPr>
          <w:p w:rsidR="008615DF" w:rsidRPr="00697361" w:rsidRDefault="005E0018" w:rsidP="008615DF">
            <w:pPr>
              <w:jc w:val="center"/>
              <w:rPr>
                <w:rFonts w:cs="Arial"/>
                <w:b/>
                <w:szCs w:val="24"/>
              </w:rPr>
            </w:pPr>
            <w:r>
              <w:rPr>
                <w:rFonts w:cs="Arial"/>
                <w:b/>
                <w:szCs w:val="24"/>
              </w:rPr>
              <w:t>549</w:t>
            </w:r>
          </w:p>
        </w:tc>
        <w:tc>
          <w:tcPr>
            <w:tcW w:w="1641" w:type="dxa"/>
            <w:shd w:val="clear" w:color="auto" w:fill="auto"/>
          </w:tcPr>
          <w:p w:rsidR="008615DF" w:rsidRPr="00697361" w:rsidRDefault="005E0018" w:rsidP="008615DF">
            <w:pPr>
              <w:jc w:val="center"/>
              <w:rPr>
                <w:rFonts w:cs="Arial"/>
                <w:b/>
                <w:szCs w:val="24"/>
              </w:rPr>
            </w:pPr>
            <w:r>
              <w:rPr>
                <w:rFonts w:cs="Arial"/>
                <w:b/>
                <w:szCs w:val="24"/>
              </w:rPr>
              <w:t>455</w:t>
            </w:r>
          </w:p>
        </w:tc>
        <w:tc>
          <w:tcPr>
            <w:tcW w:w="1148" w:type="dxa"/>
          </w:tcPr>
          <w:p w:rsidR="008615DF" w:rsidRPr="00697361" w:rsidRDefault="005E0018" w:rsidP="008615DF">
            <w:pPr>
              <w:jc w:val="center"/>
              <w:rPr>
                <w:rFonts w:cs="Arial"/>
                <w:b/>
                <w:szCs w:val="24"/>
              </w:rPr>
            </w:pPr>
            <w:r>
              <w:rPr>
                <w:rFonts w:cs="Arial"/>
                <w:b/>
                <w:szCs w:val="24"/>
              </w:rPr>
              <w:t>(866)</w:t>
            </w:r>
          </w:p>
        </w:tc>
      </w:tr>
    </w:tbl>
    <w:p w:rsidR="008615DF" w:rsidRPr="006B1DE1" w:rsidRDefault="008615DF" w:rsidP="00C6530C">
      <w:pPr>
        <w:rPr>
          <w:rFonts w:cs="Arial"/>
          <w:szCs w:val="24"/>
        </w:rPr>
      </w:pPr>
    </w:p>
    <w:p w:rsidR="00741AEB" w:rsidRPr="006B1DE1" w:rsidRDefault="00741AEB" w:rsidP="00741AEB">
      <w:pPr>
        <w:rPr>
          <w:rFonts w:cs="Arial"/>
          <w:szCs w:val="24"/>
        </w:rPr>
      </w:pPr>
    </w:p>
    <w:p w:rsidR="007A2234" w:rsidRDefault="007A2234" w:rsidP="007A2234">
      <w:pPr>
        <w:rPr>
          <w:rFonts w:cs="Arial"/>
          <w:b/>
          <w:szCs w:val="24"/>
        </w:rPr>
      </w:pPr>
      <w:bookmarkStart w:id="2" w:name="_Toc372706221"/>
      <w:r w:rsidRPr="007A2234">
        <w:rPr>
          <w:rFonts w:cs="Arial"/>
          <w:b/>
          <w:szCs w:val="24"/>
        </w:rPr>
        <w:t>ADULT SERVICES</w:t>
      </w:r>
    </w:p>
    <w:p w:rsidR="00B63C98" w:rsidRDefault="00B63C98" w:rsidP="007A2234">
      <w:pPr>
        <w:rPr>
          <w:rFonts w:cs="Arial"/>
          <w:b/>
          <w:szCs w:val="24"/>
        </w:rPr>
      </w:pPr>
    </w:p>
    <w:tbl>
      <w:tblPr>
        <w:tblW w:w="0" w:type="auto"/>
        <w:tblInd w:w="93" w:type="dxa"/>
        <w:tblLook w:val="04A0" w:firstRow="1" w:lastRow="0" w:firstColumn="1" w:lastColumn="0" w:noHBand="0" w:noVBand="1"/>
      </w:tblPr>
      <w:tblGrid>
        <w:gridCol w:w="1831"/>
        <w:gridCol w:w="1964"/>
        <w:gridCol w:w="1337"/>
      </w:tblGrid>
      <w:tr w:rsidR="00B63C98" w:rsidRPr="00B63C98" w:rsidTr="00BD1EA7">
        <w:trPr>
          <w:trHeight w:val="60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Q2 (to 30.9.15)</w:t>
            </w:r>
          </w:p>
        </w:tc>
        <w:tc>
          <w:tcPr>
            <w:tcW w:w="0" w:type="auto"/>
            <w:tcBorders>
              <w:top w:val="single" w:sz="8" w:space="0" w:color="auto"/>
              <w:left w:val="nil"/>
              <w:bottom w:val="nil"/>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Q3 (to 31.12.15)</w:t>
            </w:r>
          </w:p>
        </w:tc>
        <w:tc>
          <w:tcPr>
            <w:tcW w:w="0" w:type="auto"/>
            <w:tcBorders>
              <w:top w:val="single" w:sz="8" w:space="0" w:color="auto"/>
              <w:left w:val="nil"/>
              <w:bottom w:val="nil"/>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Movement</w:t>
            </w:r>
          </w:p>
        </w:tc>
      </w:tr>
      <w:tr w:rsidR="00B63C98" w:rsidRPr="00B63C98" w:rsidTr="00BD1EA7">
        <w:trPr>
          <w:trHeight w:val="300"/>
        </w:trPr>
        <w:tc>
          <w:tcPr>
            <w:tcW w:w="0" w:type="auto"/>
            <w:tcBorders>
              <w:top w:val="nil"/>
              <w:left w:val="single" w:sz="8" w:space="0" w:color="auto"/>
              <w:bottom w:val="nil"/>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Variance</w:t>
            </w:r>
          </w:p>
        </w:tc>
        <w:tc>
          <w:tcPr>
            <w:tcW w:w="0" w:type="auto"/>
            <w:tcBorders>
              <w:top w:val="nil"/>
              <w:left w:val="nil"/>
              <w:bottom w:val="nil"/>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Variance</w:t>
            </w:r>
          </w:p>
        </w:tc>
        <w:tc>
          <w:tcPr>
            <w:tcW w:w="0" w:type="auto"/>
            <w:tcBorders>
              <w:top w:val="nil"/>
              <w:left w:val="nil"/>
              <w:bottom w:val="nil"/>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 </w:t>
            </w:r>
          </w:p>
        </w:tc>
      </w:tr>
      <w:tr w:rsidR="00B63C98" w:rsidRPr="00B63C98" w:rsidTr="00BD1EA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£’000</w:t>
            </w:r>
          </w:p>
        </w:tc>
        <w:tc>
          <w:tcPr>
            <w:tcW w:w="0" w:type="auto"/>
            <w:tcBorders>
              <w:top w:val="nil"/>
              <w:left w:val="nil"/>
              <w:bottom w:val="single" w:sz="8" w:space="0" w:color="auto"/>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£’000</w:t>
            </w:r>
          </w:p>
        </w:tc>
        <w:tc>
          <w:tcPr>
            <w:tcW w:w="0" w:type="auto"/>
            <w:tcBorders>
              <w:top w:val="nil"/>
              <w:left w:val="nil"/>
              <w:bottom w:val="single" w:sz="8" w:space="0" w:color="auto"/>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£’000</w:t>
            </w:r>
          </w:p>
        </w:tc>
      </w:tr>
      <w:tr w:rsidR="00B63C98" w:rsidRPr="00B63C98" w:rsidTr="00BD1EA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54</w:t>
            </w:r>
          </w:p>
        </w:tc>
        <w:tc>
          <w:tcPr>
            <w:tcW w:w="0" w:type="auto"/>
            <w:tcBorders>
              <w:top w:val="nil"/>
              <w:left w:val="nil"/>
              <w:bottom w:val="single" w:sz="8" w:space="0" w:color="auto"/>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302</w:t>
            </w:r>
          </w:p>
        </w:tc>
        <w:tc>
          <w:tcPr>
            <w:tcW w:w="0" w:type="auto"/>
            <w:tcBorders>
              <w:top w:val="nil"/>
              <w:left w:val="nil"/>
              <w:bottom w:val="single" w:sz="8" w:space="0" w:color="auto"/>
              <w:right w:val="single" w:sz="8" w:space="0" w:color="auto"/>
            </w:tcBorders>
            <w:shd w:val="clear" w:color="auto" w:fill="auto"/>
            <w:vAlign w:val="center"/>
            <w:hideMark/>
          </w:tcPr>
          <w:p w:rsidR="00B63C98" w:rsidRPr="00BD1EA7" w:rsidRDefault="00B63C98" w:rsidP="00B63C98">
            <w:pPr>
              <w:jc w:val="center"/>
              <w:rPr>
                <w:rFonts w:cs="Arial"/>
                <w:szCs w:val="24"/>
              </w:rPr>
            </w:pPr>
            <w:r w:rsidRPr="00BD1EA7">
              <w:rPr>
                <w:rFonts w:cs="Arial"/>
                <w:szCs w:val="24"/>
              </w:rPr>
              <w:t>248</w:t>
            </w:r>
          </w:p>
        </w:tc>
      </w:tr>
    </w:tbl>
    <w:p w:rsidR="00B63C98" w:rsidRPr="007A2234" w:rsidRDefault="00B63C98" w:rsidP="007A2234">
      <w:pPr>
        <w:rPr>
          <w:rFonts w:cs="Arial"/>
          <w:b/>
          <w:szCs w:val="24"/>
        </w:rPr>
      </w:pPr>
    </w:p>
    <w:p w:rsidR="00B63C98" w:rsidRPr="00B63C98" w:rsidRDefault="00B63C98" w:rsidP="00B63C98">
      <w:pPr>
        <w:numPr>
          <w:ilvl w:val="0"/>
          <w:numId w:val="9"/>
        </w:numPr>
        <w:spacing w:after="240"/>
        <w:ind w:hanging="720"/>
        <w:rPr>
          <w:rFonts w:cs="Arial"/>
          <w:szCs w:val="24"/>
        </w:rPr>
      </w:pPr>
      <w:r w:rsidRPr="00B63C98">
        <w:rPr>
          <w:rFonts w:cs="Arial"/>
          <w:bCs/>
          <w:szCs w:val="24"/>
        </w:rPr>
        <w:t>At Quarter 3, Adults Directorate is forecast to overspend by £302k, an increase in the forecast overspend of £248k when compared with quarter 2.  The increase of £248k arises from DoLs (£58k), Mental Health (£60k) and adult social care purchasing, including acute discharges (£130k).</w:t>
      </w:r>
      <w:r w:rsidRPr="00B63C98">
        <w:rPr>
          <w:rFonts w:cs="Arial"/>
          <w:szCs w:val="24"/>
        </w:rPr>
        <w:t xml:space="preserve"> </w:t>
      </w:r>
    </w:p>
    <w:p w:rsidR="00B63C98" w:rsidRPr="00B63C98" w:rsidRDefault="00B63C98" w:rsidP="00B63C98">
      <w:pPr>
        <w:numPr>
          <w:ilvl w:val="0"/>
          <w:numId w:val="9"/>
        </w:numPr>
        <w:spacing w:after="240"/>
        <w:ind w:hanging="720"/>
        <w:rPr>
          <w:rFonts w:cs="Arial"/>
          <w:bCs/>
          <w:szCs w:val="24"/>
        </w:rPr>
      </w:pPr>
      <w:r w:rsidRPr="00B63C98">
        <w:rPr>
          <w:rFonts w:cs="Arial"/>
          <w:bCs/>
          <w:szCs w:val="24"/>
        </w:rPr>
        <w:t xml:space="preserve">Recovery action was taken at </w:t>
      </w:r>
      <w:r w:rsidR="005E0AD9">
        <w:rPr>
          <w:rFonts w:cs="Arial"/>
          <w:bCs/>
          <w:szCs w:val="24"/>
        </w:rPr>
        <w:t>Quarter 2</w:t>
      </w:r>
      <w:r w:rsidRPr="00B63C98">
        <w:rPr>
          <w:rFonts w:cs="Arial"/>
          <w:bCs/>
          <w:szCs w:val="24"/>
        </w:rPr>
        <w:t xml:space="preserve"> to reduce </w:t>
      </w:r>
      <w:proofErr w:type="gramStart"/>
      <w:r w:rsidRPr="00B63C98">
        <w:rPr>
          <w:rFonts w:cs="Arial"/>
          <w:bCs/>
          <w:szCs w:val="24"/>
        </w:rPr>
        <w:t>the overspend</w:t>
      </w:r>
      <w:proofErr w:type="gramEnd"/>
      <w:r w:rsidRPr="00B63C98">
        <w:rPr>
          <w:rFonts w:cs="Arial"/>
          <w:bCs/>
          <w:szCs w:val="24"/>
        </w:rPr>
        <w:t xml:space="preserve"> then being reported (£0.649m) and this has been achieved.  However these additional pressures arise from continued legislative responsibilities and increased pressure from health in relation to hospital discharges.  </w:t>
      </w:r>
    </w:p>
    <w:p w:rsidR="00B63C98" w:rsidRPr="00B63C98" w:rsidRDefault="00B63C98" w:rsidP="00B63C98">
      <w:pPr>
        <w:numPr>
          <w:ilvl w:val="0"/>
          <w:numId w:val="9"/>
        </w:numPr>
        <w:spacing w:after="240"/>
        <w:ind w:hanging="720"/>
        <w:rPr>
          <w:rFonts w:cs="Arial"/>
          <w:szCs w:val="24"/>
          <w:u w:val="single"/>
        </w:rPr>
      </w:pPr>
      <w:r w:rsidRPr="00B63C98">
        <w:rPr>
          <w:rFonts w:cs="Arial"/>
          <w:bCs/>
          <w:szCs w:val="24"/>
        </w:rPr>
        <w:t>Whilst every effort is being made to reduce these new pressures, given the earlier recovery action and mitigation, and proximity to year end, it is likely to prove more challenging to reduce this pressure by the end of March.</w:t>
      </w:r>
      <w:r w:rsidRPr="00B63C98">
        <w:rPr>
          <w:rFonts w:cs="Arial"/>
          <w:szCs w:val="24"/>
        </w:rPr>
        <w:t xml:space="preserve"> Risks around social care pressures arising from increased complexity and from health in relation to early discharge around Delayed Transfers of Care (</w:t>
      </w:r>
      <w:proofErr w:type="spellStart"/>
      <w:r w:rsidRPr="00B63C98">
        <w:rPr>
          <w:rFonts w:cs="Arial"/>
          <w:szCs w:val="24"/>
        </w:rPr>
        <w:t>DToC’s</w:t>
      </w:r>
      <w:proofErr w:type="spellEnd"/>
      <w:r w:rsidRPr="00B63C98">
        <w:rPr>
          <w:rFonts w:cs="Arial"/>
          <w:szCs w:val="24"/>
        </w:rPr>
        <w:t xml:space="preserve">), continues. </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The key variations across the directorate are consistent with </w:t>
      </w:r>
      <w:r w:rsidR="005E0AD9">
        <w:rPr>
          <w:rFonts w:cs="Arial"/>
          <w:szCs w:val="24"/>
        </w:rPr>
        <w:t>Quarter 2</w:t>
      </w:r>
      <w:r w:rsidRPr="00B63C98">
        <w:rPr>
          <w:rFonts w:cs="Arial"/>
          <w:szCs w:val="24"/>
        </w:rPr>
        <w:t xml:space="preserve"> and are detailed below:</w:t>
      </w:r>
    </w:p>
    <w:p w:rsidR="00B63C98" w:rsidRPr="00B63C98" w:rsidRDefault="00B63C98" w:rsidP="00B63C98">
      <w:pPr>
        <w:numPr>
          <w:ilvl w:val="0"/>
          <w:numId w:val="9"/>
        </w:numPr>
        <w:spacing w:after="240"/>
        <w:ind w:hanging="720"/>
        <w:rPr>
          <w:rFonts w:cs="Arial"/>
          <w:szCs w:val="24"/>
        </w:rPr>
      </w:pPr>
      <w:r w:rsidRPr="00B63C98">
        <w:rPr>
          <w:rFonts w:cs="Arial"/>
          <w:b/>
          <w:szCs w:val="24"/>
          <w:u w:val="single"/>
        </w:rPr>
        <w:t>Overspends</w:t>
      </w:r>
      <w:r w:rsidRPr="00B63C98">
        <w:rPr>
          <w:rFonts w:cs="Arial"/>
          <w:szCs w:val="24"/>
        </w:rPr>
        <w:t xml:space="preserve"> – these represent on-going pressures;</w:t>
      </w:r>
    </w:p>
    <w:p w:rsidR="00B63C98" w:rsidRPr="00B63C98" w:rsidRDefault="00B63C98" w:rsidP="00B63C98">
      <w:pPr>
        <w:numPr>
          <w:ilvl w:val="0"/>
          <w:numId w:val="9"/>
        </w:numPr>
        <w:spacing w:after="240"/>
        <w:ind w:hanging="720"/>
        <w:rPr>
          <w:rFonts w:cs="Arial"/>
          <w:szCs w:val="24"/>
        </w:rPr>
      </w:pPr>
      <w:r w:rsidRPr="00B63C98">
        <w:rPr>
          <w:rFonts w:cs="Arial"/>
          <w:szCs w:val="24"/>
        </w:rPr>
        <w:t>£1.502m overspend relates to social care placements and  represents purchasing pressures (£0.829m of which represents the acceptance of 21 O</w:t>
      </w:r>
      <w:r w:rsidR="00637B72">
        <w:rPr>
          <w:rFonts w:cs="Arial"/>
          <w:szCs w:val="24"/>
        </w:rPr>
        <w:t xml:space="preserve">rdinary </w:t>
      </w:r>
      <w:r w:rsidRPr="00B63C98">
        <w:rPr>
          <w:rFonts w:cs="Arial"/>
          <w:szCs w:val="24"/>
        </w:rPr>
        <w:t>R</w:t>
      </w:r>
      <w:r w:rsidR="00637B72">
        <w:rPr>
          <w:rFonts w:cs="Arial"/>
          <w:szCs w:val="24"/>
        </w:rPr>
        <w:t>esidents</w:t>
      </w:r>
      <w:r w:rsidRPr="00B63C98">
        <w:rPr>
          <w:rFonts w:cs="Arial"/>
          <w:szCs w:val="24"/>
        </w:rPr>
        <w:t xml:space="preserve"> cases</w:t>
      </w:r>
      <w:r w:rsidR="00A72152">
        <w:rPr>
          <w:rFonts w:cs="Arial"/>
          <w:szCs w:val="24"/>
        </w:rPr>
        <w:t xml:space="preserve">, this figure may increase if the backdating </w:t>
      </w:r>
      <w:r w:rsidR="00A72152">
        <w:rPr>
          <w:rFonts w:cs="Arial"/>
          <w:szCs w:val="24"/>
        </w:rPr>
        <w:lastRenderedPageBreak/>
        <w:t xml:space="preserve">of cost to the original date of placement is pursued, leading to a further cost of £1.3m above the litigation provision assumed </w:t>
      </w:r>
      <w:r w:rsidRPr="00B63C98">
        <w:rPr>
          <w:rFonts w:cs="Arial"/>
          <w:szCs w:val="24"/>
        </w:rPr>
        <w:t>)</w:t>
      </w:r>
      <w:r w:rsidR="00A72152">
        <w:rPr>
          <w:rFonts w:cs="Arial"/>
          <w:szCs w:val="24"/>
        </w:rPr>
        <w:t xml:space="preserve">. </w:t>
      </w:r>
    </w:p>
    <w:p w:rsidR="00B63C98" w:rsidRPr="00B63C98" w:rsidRDefault="00B63C98" w:rsidP="00B63C98">
      <w:pPr>
        <w:numPr>
          <w:ilvl w:val="0"/>
          <w:numId w:val="9"/>
        </w:numPr>
        <w:spacing w:after="240"/>
        <w:ind w:hanging="720"/>
        <w:rPr>
          <w:rFonts w:cs="Arial"/>
          <w:szCs w:val="24"/>
        </w:rPr>
      </w:pPr>
      <w:r w:rsidRPr="00B63C98">
        <w:rPr>
          <w:rFonts w:cs="Arial"/>
          <w:szCs w:val="24"/>
        </w:rPr>
        <w:t>£174k overspend relating to the Deprivation of Liberty Safeguards (DoLS) resulting in statutory requirements to carry out DoLS assessments by specific timescales and increased threshold for assessments. The total forecast for DoLs is £430k however this is offset by the DoLs grant of  £104k  and transfer of £152k from the annual growth allocation (this in turn reduces the funding available for new packages of care and increases the overspend being reported on the purchasing budget).</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£248k overspend in relation to Mental Health – this reflects the Council’s 50% risk share relating to S75 agreement with Central North West London Hospitals Trust (CNWL) where an overspend of £497k is currently being forecast and is an increase of £103k compared to </w:t>
      </w:r>
      <w:r w:rsidR="005E0AD9">
        <w:rPr>
          <w:rFonts w:cs="Arial"/>
          <w:szCs w:val="24"/>
        </w:rPr>
        <w:t>Quarter 2</w:t>
      </w:r>
      <w:r w:rsidRPr="00B63C98">
        <w:rPr>
          <w:rFonts w:cs="Arial"/>
          <w:szCs w:val="24"/>
        </w:rPr>
        <w:t>.</w:t>
      </w:r>
    </w:p>
    <w:p w:rsidR="00B63C98" w:rsidRPr="00B63C98" w:rsidRDefault="00B63C98" w:rsidP="00B63C98">
      <w:pPr>
        <w:numPr>
          <w:ilvl w:val="0"/>
          <w:numId w:val="9"/>
        </w:numPr>
        <w:spacing w:after="240"/>
        <w:ind w:hanging="720"/>
        <w:rPr>
          <w:rFonts w:cs="Arial"/>
          <w:szCs w:val="24"/>
        </w:rPr>
      </w:pPr>
      <w:r w:rsidRPr="00B63C98">
        <w:rPr>
          <w:rFonts w:cs="Arial"/>
          <w:b/>
          <w:szCs w:val="24"/>
          <w:u w:val="single"/>
        </w:rPr>
        <w:t>Underspends</w:t>
      </w:r>
      <w:r w:rsidRPr="00B63C98">
        <w:rPr>
          <w:rFonts w:cs="Arial"/>
          <w:szCs w:val="24"/>
        </w:rPr>
        <w:t xml:space="preserve"> – these are one-off underspends; </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£80k </w:t>
      </w:r>
      <w:proofErr w:type="gramStart"/>
      <w:r w:rsidRPr="00B63C98">
        <w:rPr>
          <w:rFonts w:cs="Arial"/>
          <w:szCs w:val="24"/>
        </w:rPr>
        <w:t>underspend</w:t>
      </w:r>
      <w:proofErr w:type="gramEnd"/>
      <w:r w:rsidRPr="00B63C98">
        <w:rPr>
          <w:rFonts w:cs="Arial"/>
          <w:szCs w:val="24"/>
        </w:rPr>
        <w:t xml:space="preserve"> on Adult Social care staff vacancies.</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£201k </w:t>
      </w:r>
      <w:proofErr w:type="gramStart"/>
      <w:r w:rsidRPr="00B63C98">
        <w:rPr>
          <w:rFonts w:cs="Arial"/>
          <w:szCs w:val="24"/>
        </w:rPr>
        <w:t>underspend</w:t>
      </w:r>
      <w:proofErr w:type="gramEnd"/>
      <w:r w:rsidRPr="00B63C98">
        <w:rPr>
          <w:rFonts w:cs="Arial"/>
          <w:szCs w:val="24"/>
        </w:rPr>
        <w:t xml:space="preserve"> on the Quality Assurance team (largely reflecting the delay in recruiting to vacant posts).</w:t>
      </w:r>
    </w:p>
    <w:p w:rsidR="00B63C98" w:rsidRPr="00B63C98" w:rsidRDefault="00B63C98" w:rsidP="00B63C98">
      <w:pPr>
        <w:numPr>
          <w:ilvl w:val="0"/>
          <w:numId w:val="9"/>
        </w:numPr>
        <w:spacing w:after="240"/>
        <w:ind w:hanging="720"/>
        <w:rPr>
          <w:rFonts w:cs="Arial"/>
          <w:szCs w:val="24"/>
        </w:rPr>
      </w:pPr>
      <w:r w:rsidRPr="00B63C98">
        <w:rPr>
          <w:rFonts w:cs="Arial"/>
          <w:szCs w:val="24"/>
        </w:rPr>
        <w:t>£110k underspend has been identified in relation to non-staffing budgets</w:t>
      </w:r>
    </w:p>
    <w:p w:rsidR="00B63C98" w:rsidRPr="00B63C98" w:rsidRDefault="00B63C98" w:rsidP="00B63C98">
      <w:pPr>
        <w:numPr>
          <w:ilvl w:val="0"/>
          <w:numId w:val="9"/>
        </w:numPr>
        <w:spacing w:after="240"/>
        <w:ind w:hanging="720"/>
        <w:rPr>
          <w:rFonts w:cs="Arial"/>
          <w:szCs w:val="24"/>
        </w:rPr>
      </w:pPr>
      <w:r w:rsidRPr="00B63C98">
        <w:rPr>
          <w:rFonts w:cs="Arial"/>
          <w:szCs w:val="24"/>
        </w:rPr>
        <w:t>£1.238m Care Act Funding used to offset purchasing pressures</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The demand led nature of </w:t>
      </w:r>
      <w:r w:rsidR="002C05D1">
        <w:rPr>
          <w:rFonts w:cs="Arial"/>
          <w:szCs w:val="24"/>
        </w:rPr>
        <w:t xml:space="preserve">the </w:t>
      </w:r>
      <w:r w:rsidRPr="00B63C98">
        <w:rPr>
          <w:rFonts w:cs="Arial"/>
          <w:szCs w:val="24"/>
        </w:rPr>
        <w:t xml:space="preserve">Adult’s Services budget means </w:t>
      </w:r>
      <w:proofErr w:type="gramStart"/>
      <w:r w:rsidRPr="00B63C98">
        <w:rPr>
          <w:rFonts w:cs="Arial"/>
          <w:szCs w:val="24"/>
        </w:rPr>
        <w:t xml:space="preserve">that  </w:t>
      </w:r>
      <w:r w:rsidR="002C05D1">
        <w:rPr>
          <w:rFonts w:cs="Arial"/>
          <w:szCs w:val="24"/>
        </w:rPr>
        <w:t>it</w:t>
      </w:r>
      <w:proofErr w:type="gramEnd"/>
      <w:r w:rsidR="002C05D1">
        <w:rPr>
          <w:rFonts w:cs="Arial"/>
          <w:szCs w:val="24"/>
        </w:rPr>
        <w:t xml:space="preserve"> is challenging to manage within budget.  The pressures will continue to be closely monitored and </w:t>
      </w:r>
      <w:r w:rsidR="005A34DF">
        <w:rPr>
          <w:rFonts w:cs="Arial"/>
          <w:szCs w:val="24"/>
        </w:rPr>
        <w:t>w</w:t>
      </w:r>
      <w:r w:rsidR="002C05D1">
        <w:rPr>
          <w:rFonts w:cs="Arial"/>
          <w:szCs w:val="24"/>
        </w:rPr>
        <w:t xml:space="preserve">hilst it is not easy to predict the </w:t>
      </w:r>
      <w:r w:rsidR="005A34DF">
        <w:rPr>
          <w:rFonts w:cs="Arial"/>
          <w:szCs w:val="24"/>
        </w:rPr>
        <w:t>level of future demand i</w:t>
      </w:r>
      <w:r w:rsidRPr="00B63C98">
        <w:rPr>
          <w:rFonts w:cs="Arial"/>
          <w:szCs w:val="24"/>
        </w:rPr>
        <w:t>t may be possible to mitigate some of these pressures in due course</w:t>
      </w:r>
      <w:r w:rsidR="005A34DF">
        <w:rPr>
          <w:rFonts w:cs="Arial"/>
          <w:szCs w:val="24"/>
        </w:rPr>
        <w:t xml:space="preserve">. </w:t>
      </w:r>
      <w:r w:rsidRPr="00B63C98">
        <w:rPr>
          <w:rFonts w:cs="Arial"/>
          <w:szCs w:val="24"/>
        </w:rPr>
        <w:t xml:space="preserve"> </w:t>
      </w:r>
      <w:r w:rsidR="005A34DF">
        <w:rPr>
          <w:rFonts w:cs="Arial"/>
          <w:szCs w:val="24"/>
        </w:rPr>
        <w:t>H</w:t>
      </w:r>
      <w:r w:rsidRPr="00B63C98">
        <w:rPr>
          <w:rFonts w:cs="Arial"/>
          <w:szCs w:val="24"/>
        </w:rPr>
        <w:t xml:space="preserve">owever, it will </w:t>
      </w:r>
      <w:r w:rsidR="005A34DF">
        <w:rPr>
          <w:rFonts w:cs="Arial"/>
          <w:szCs w:val="24"/>
        </w:rPr>
        <w:t>remain</w:t>
      </w:r>
      <w:r w:rsidRPr="00B63C98">
        <w:rPr>
          <w:rFonts w:cs="Arial"/>
          <w:szCs w:val="24"/>
        </w:rPr>
        <w:t xml:space="preserve"> challenging to manage the demands of demography within the available funding envelope alongside the risk of inflationary increases (particularly those arising from the implementation of the National Minimum wage) together with the disappointing central government grant settlement which means that there is no capacity to allocate Care Act funding to the service to support on</w:t>
      </w:r>
      <w:r w:rsidR="003D460D">
        <w:rPr>
          <w:rFonts w:cs="Arial"/>
          <w:szCs w:val="24"/>
        </w:rPr>
        <w:t>-</w:t>
      </w:r>
      <w:r w:rsidRPr="00B63C98">
        <w:rPr>
          <w:rFonts w:cs="Arial"/>
          <w:szCs w:val="24"/>
        </w:rPr>
        <w:t>going associated costs of the Care Act.</w:t>
      </w:r>
    </w:p>
    <w:p w:rsidR="00B63C98" w:rsidRPr="00B63C98" w:rsidRDefault="00B63C98" w:rsidP="00A969AA">
      <w:pPr>
        <w:spacing w:after="240"/>
        <w:rPr>
          <w:rFonts w:cs="Arial"/>
          <w:b/>
          <w:szCs w:val="24"/>
        </w:rPr>
      </w:pPr>
      <w:r w:rsidRPr="00B63C98">
        <w:rPr>
          <w:rFonts w:cs="Arial"/>
          <w:b/>
          <w:szCs w:val="24"/>
        </w:rPr>
        <w:t>ADULTS TRANSFORMATION</w:t>
      </w:r>
    </w:p>
    <w:tbl>
      <w:tblPr>
        <w:tblW w:w="0" w:type="auto"/>
        <w:tblInd w:w="93" w:type="dxa"/>
        <w:tblLook w:val="04A0" w:firstRow="1" w:lastRow="0" w:firstColumn="1" w:lastColumn="0" w:noHBand="0" w:noVBand="1"/>
      </w:tblPr>
      <w:tblGrid>
        <w:gridCol w:w="1831"/>
        <w:gridCol w:w="1964"/>
        <w:gridCol w:w="1337"/>
      </w:tblGrid>
      <w:tr w:rsidR="00B63C98" w:rsidRPr="00B63C98" w:rsidTr="00BD1EA7">
        <w:trPr>
          <w:trHeight w:val="600"/>
        </w:trPr>
        <w:tc>
          <w:tcPr>
            <w:tcW w:w="0" w:type="auto"/>
            <w:tcBorders>
              <w:top w:val="single" w:sz="8" w:space="0" w:color="auto"/>
              <w:left w:val="single" w:sz="8" w:space="0" w:color="auto"/>
              <w:bottom w:val="nil"/>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Q2 (to 30.9.15)</w:t>
            </w:r>
          </w:p>
        </w:tc>
        <w:tc>
          <w:tcPr>
            <w:tcW w:w="0" w:type="auto"/>
            <w:tcBorders>
              <w:top w:val="single" w:sz="8" w:space="0" w:color="auto"/>
              <w:left w:val="nil"/>
              <w:bottom w:val="nil"/>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Q3 (to 31.12.15)</w:t>
            </w:r>
          </w:p>
        </w:tc>
        <w:tc>
          <w:tcPr>
            <w:tcW w:w="0" w:type="auto"/>
            <w:tcBorders>
              <w:top w:val="single" w:sz="8" w:space="0" w:color="auto"/>
              <w:left w:val="nil"/>
              <w:bottom w:val="nil"/>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Movement</w:t>
            </w:r>
          </w:p>
        </w:tc>
      </w:tr>
      <w:tr w:rsidR="00B63C98" w:rsidRPr="00B63C98" w:rsidTr="00BD1EA7">
        <w:trPr>
          <w:trHeight w:val="300"/>
        </w:trPr>
        <w:tc>
          <w:tcPr>
            <w:tcW w:w="0" w:type="auto"/>
            <w:tcBorders>
              <w:top w:val="nil"/>
              <w:left w:val="single" w:sz="8" w:space="0" w:color="auto"/>
              <w:bottom w:val="nil"/>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Variance</w:t>
            </w:r>
          </w:p>
        </w:tc>
        <w:tc>
          <w:tcPr>
            <w:tcW w:w="0" w:type="auto"/>
            <w:tcBorders>
              <w:top w:val="nil"/>
              <w:left w:val="nil"/>
              <w:bottom w:val="nil"/>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Variance</w:t>
            </w:r>
          </w:p>
        </w:tc>
        <w:tc>
          <w:tcPr>
            <w:tcW w:w="0" w:type="auto"/>
            <w:tcBorders>
              <w:top w:val="nil"/>
              <w:left w:val="nil"/>
              <w:bottom w:val="nil"/>
              <w:right w:val="single" w:sz="8" w:space="0" w:color="auto"/>
            </w:tcBorders>
            <w:shd w:val="clear" w:color="auto" w:fill="auto"/>
            <w:vAlign w:val="center"/>
            <w:hideMark/>
          </w:tcPr>
          <w:p w:rsidR="00B63C98" w:rsidRPr="00BD1EA7" w:rsidRDefault="00B63C98" w:rsidP="00BD1EA7">
            <w:pPr>
              <w:jc w:val="center"/>
              <w:rPr>
                <w:rFonts w:cs="Arial"/>
                <w:szCs w:val="24"/>
              </w:rPr>
            </w:pPr>
          </w:p>
        </w:tc>
      </w:tr>
      <w:tr w:rsidR="00B63C98" w:rsidRPr="00B63C98" w:rsidTr="00BD1EA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£’000</w:t>
            </w:r>
          </w:p>
        </w:tc>
        <w:tc>
          <w:tcPr>
            <w:tcW w:w="0" w:type="auto"/>
            <w:tcBorders>
              <w:top w:val="nil"/>
              <w:left w:val="nil"/>
              <w:bottom w:val="single" w:sz="8" w:space="0" w:color="auto"/>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£’000</w:t>
            </w:r>
          </w:p>
        </w:tc>
        <w:tc>
          <w:tcPr>
            <w:tcW w:w="0" w:type="auto"/>
            <w:tcBorders>
              <w:top w:val="nil"/>
              <w:left w:val="nil"/>
              <w:bottom w:val="single" w:sz="8" w:space="0" w:color="auto"/>
              <w:right w:val="single" w:sz="8" w:space="0" w:color="auto"/>
            </w:tcBorders>
            <w:shd w:val="clear" w:color="auto" w:fill="auto"/>
            <w:vAlign w:val="center"/>
            <w:hideMark/>
          </w:tcPr>
          <w:p w:rsidR="00B63C98" w:rsidRPr="00BD1EA7" w:rsidRDefault="00B63C98" w:rsidP="00BD1EA7">
            <w:pPr>
              <w:jc w:val="center"/>
              <w:rPr>
                <w:rFonts w:cs="Arial"/>
                <w:szCs w:val="24"/>
              </w:rPr>
            </w:pPr>
            <w:r w:rsidRPr="00BD1EA7">
              <w:rPr>
                <w:rFonts w:cs="Arial"/>
                <w:szCs w:val="24"/>
              </w:rPr>
              <w:t>£’000</w:t>
            </w:r>
          </w:p>
        </w:tc>
      </w:tr>
      <w:tr w:rsidR="00B63C98" w:rsidRPr="00B63C98" w:rsidTr="00BD1EA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63C98" w:rsidRPr="00B63C98" w:rsidRDefault="00B63C98" w:rsidP="00BD1EA7">
            <w:pPr>
              <w:jc w:val="center"/>
              <w:rPr>
                <w:rFonts w:cs="Arial"/>
                <w:szCs w:val="24"/>
              </w:rPr>
            </w:pPr>
            <w:r w:rsidRPr="00B63C98">
              <w:rPr>
                <w:rFonts w:cs="Arial"/>
                <w:szCs w:val="24"/>
              </w:rPr>
              <w:t>40</w:t>
            </w:r>
          </w:p>
        </w:tc>
        <w:tc>
          <w:tcPr>
            <w:tcW w:w="0" w:type="auto"/>
            <w:tcBorders>
              <w:top w:val="nil"/>
              <w:left w:val="nil"/>
              <w:bottom w:val="single" w:sz="8" w:space="0" w:color="auto"/>
              <w:right w:val="single" w:sz="8" w:space="0" w:color="auto"/>
            </w:tcBorders>
            <w:shd w:val="clear" w:color="auto" w:fill="auto"/>
            <w:vAlign w:val="center"/>
            <w:hideMark/>
          </w:tcPr>
          <w:p w:rsidR="00B63C98" w:rsidRPr="00B63C98" w:rsidRDefault="00B63C98" w:rsidP="00BD1EA7">
            <w:pPr>
              <w:jc w:val="center"/>
              <w:rPr>
                <w:rFonts w:cs="Arial"/>
                <w:szCs w:val="24"/>
              </w:rPr>
            </w:pPr>
            <w:r w:rsidRPr="00B63C98">
              <w:rPr>
                <w:rFonts w:cs="Arial"/>
                <w:szCs w:val="24"/>
              </w:rPr>
              <w:t>40</w:t>
            </w:r>
          </w:p>
        </w:tc>
        <w:tc>
          <w:tcPr>
            <w:tcW w:w="0" w:type="auto"/>
            <w:tcBorders>
              <w:top w:val="nil"/>
              <w:left w:val="nil"/>
              <w:bottom w:val="single" w:sz="8" w:space="0" w:color="auto"/>
              <w:right w:val="single" w:sz="8" w:space="0" w:color="auto"/>
            </w:tcBorders>
            <w:shd w:val="clear" w:color="auto" w:fill="auto"/>
            <w:vAlign w:val="center"/>
            <w:hideMark/>
          </w:tcPr>
          <w:p w:rsidR="00B63C98" w:rsidRPr="00B63C98" w:rsidRDefault="00B63C98" w:rsidP="00BD1EA7">
            <w:pPr>
              <w:jc w:val="center"/>
              <w:rPr>
                <w:rFonts w:cs="Arial"/>
                <w:szCs w:val="24"/>
              </w:rPr>
            </w:pPr>
            <w:r w:rsidRPr="00B63C98">
              <w:rPr>
                <w:rFonts w:cs="Arial"/>
                <w:szCs w:val="24"/>
              </w:rPr>
              <w:t>0</w:t>
            </w:r>
          </w:p>
        </w:tc>
      </w:tr>
    </w:tbl>
    <w:p w:rsidR="00B63C98" w:rsidRPr="00B63C98" w:rsidRDefault="00B63C98" w:rsidP="00B63C98">
      <w:pPr>
        <w:spacing w:after="240"/>
        <w:rPr>
          <w:rFonts w:cs="Arial"/>
          <w:b/>
          <w:szCs w:val="24"/>
        </w:rPr>
      </w:pP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Transformation is reporting a projected overspend of £40k against a total net budget of £184k. This is due to the delayed delivery of </w:t>
      </w:r>
      <w:r w:rsidRPr="00B63C98">
        <w:rPr>
          <w:rFonts w:cs="Arial"/>
          <w:szCs w:val="24"/>
        </w:rPr>
        <w:lastRenderedPageBreak/>
        <w:t>anticipated savings across Business Support service. To achieve the proposed savings the post room function was transferred into Business Support on 1/4/15.The pressure of £40k assumes that the function has not ceased by year end. Whilst we are assuming an overspend, officers are continuing to explore whether the function can be ceased to reduce the pressure and avoid this continuing into 2016/17, however, if the function does not cease then this will be an on-going pressure.</w:t>
      </w:r>
    </w:p>
    <w:p w:rsidR="00B63C98" w:rsidRPr="00B63C98" w:rsidRDefault="00B63C98" w:rsidP="003D460D">
      <w:pPr>
        <w:spacing w:after="240"/>
        <w:rPr>
          <w:rFonts w:cs="Arial"/>
          <w:b/>
          <w:szCs w:val="24"/>
        </w:rPr>
      </w:pPr>
      <w:r w:rsidRPr="00B63C98">
        <w:rPr>
          <w:rFonts w:cs="Arial"/>
          <w:b/>
          <w:szCs w:val="24"/>
        </w:rPr>
        <w:t>CHILDREN’S SERVICES</w:t>
      </w:r>
    </w:p>
    <w:tbl>
      <w:tblPr>
        <w:tblW w:w="0" w:type="auto"/>
        <w:tblInd w:w="93" w:type="dxa"/>
        <w:tblCellMar>
          <w:left w:w="0" w:type="dxa"/>
          <w:right w:w="0" w:type="dxa"/>
        </w:tblCellMar>
        <w:tblLook w:val="04A0" w:firstRow="1" w:lastRow="0" w:firstColumn="1" w:lastColumn="0" w:noHBand="0" w:noVBand="1"/>
      </w:tblPr>
      <w:tblGrid>
        <w:gridCol w:w="1831"/>
        <w:gridCol w:w="1964"/>
        <w:gridCol w:w="1337"/>
        <w:gridCol w:w="1404"/>
      </w:tblGrid>
      <w:tr w:rsidR="00AC20C2" w:rsidRPr="00B63C98" w:rsidTr="003F5751">
        <w:trPr>
          <w:trHeight w:val="600"/>
        </w:trPr>
        <w:tc>
          <w:tcPr>
            <w:tcW w:w="0" w:type="auto"/>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Q2 (to 30.9.15)</w:t>
            </w:r>
          </w:p>
        </w:tc>
        <w:tc>
          <w:tcPr>
            <w:tcW w:w="0" w:type="auto"/>
            <w:tcBorders>
              <w:top w:val="single" w:sz="8" w:space="0" w:color="auto"/>
              <w:left w:val="nil"/>
              <w:bottom w:val="nil"/>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Q3 (to 31.12.15)</w:t>
            </w:r>
          </w:p>
        </w:tc>
        <w:tc>
          <w:tcPr>
            <w:tcW w:w="0" w:type="auto"/>
            <w:tcBorders>
              <w:top w:val="single" w:sz="8" w:space="0" w:color="auto"/>
              <w:left w:val="nil"/>
              <w:bottom w:val="nil"/>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Movement</w:t>
            </w:r>
          </w:p>
        </w:tc>
        <w:tc>
          <w:tcPr>
            <w:tcW w:w="1404" w:type="dxa"/>
            <w:tcBorders>
              <w:top w:val="single" w:sz="8" w:space="0" w:color="auto"/>
              <w:left w:val="nil"/>
              <w:bottom w:val="nil"/>
              <w:right w:val="single" w:sz="8" w:space="0" w:color="auto"/>
            </w:tcBorders>
            <w:vAlign w:val="bottom"/>
          </w:tcPr>
          <w:p w:rsidR="00AC20C2" w:rsidRPr="00AC20C2" w:rsidRDefault="00AC20C2">
            <w:pPr>
              <w:jc w:val="center"/>
              <w:rPr>
                <w:rFonts w:cs="Arial"/>
                <w:szCs w:val="24"/>
              </w:rPr>
            </w:pPr>
            <w:r w:rsidRPr="00AC20C2">
              <w:rPr>
                <w:rFonts w:cs="Arial"/>
                <w:szCs w:val="24"/>
              </w:rPr>
              <w:t>One-off income / earmarked reserves included</w:t>
            </w:r>
          </w:p>
          <w:p w:rsidR="00AC20C2" w:rsidRPr="00031C5C" w:rsidRDefault="00AC20C2">
            <w:pPr>
              <w:jc w:val="center"/>
              <w:rPr>
                <w:rFonts w:cs="Arial"/>
                <w:szCs w:val="24"/>
              </w:rPr>
            </w:pPr>
            <w:r w:rsidRPr="00AC20C2">
              <w:rPr>
                <w:rFonts w:cs="Arial"/>
                <w:szCs w:val="24"/>
              </w:rPr>
              <w:t>£000</w:t>
            </w:r>
          </w:p>
        </w:tc>
      </w:tr>
      <w:tr w:rsidR="00AC20C2" w:rsidRPr="00B63C98" w:rsidTr="003F5751">
        <w:trPr>
          <w:trHeight w:val="300"/>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Variance</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Variance</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p>
        </w:tc>
        <w:tc>
          <w:tcPr>
            <w:tcW w:w="1404" w:type="dxa"/>
            <w:tcBorders>
              <w:top w:val="nil"/>
              <w:left w:val="nil"/>
              <w:bottom w:val="nil"/>
              <w:right w:val="single" w:sz="8" w:space="0" w:color="auto"/>
            </w:tcBorders>
            <w:vAlign w:val="bottom"/>
          </w:tcPr>
          <w:p w:rsidR="00AC20C2" w:rsidRPr="00031C5C" w:rsidRDefault="00AC20C2" w:rsidP="00031C5C">
            <w:pPr>
              <w:jc w:val="center"/>
              <w:rPr>
                <w:rFonts w:cs="Arial"/>
                <w:szCs w:val="24"/>
              </w:rPr>
            </w:pPr>
          </w:p>
        </w:tc>
      </w:tr>
      <w:tr w:rsidR="00AC20C2" w:rsidRPr="00B63C98" w:rsidTr="003F5751">
        <w:trPr>
          <w:trHeight w:val="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0C2" w:rsidRPr="00031C5C" w:rsidRDefault="00AC20C2" w:rsidP="00031C5C">
            <w:pPr>
              <w:jc w:val="center"/>
              <w:rPr>
                <w:rFonts w:cs="Arial"/>
                <w:szCs w:val="24"/>
              </w:rPr>
            </w:pPr>
            <w:r w:rsidRPr="00031C5C">
              <w:rPr>
                <w:rFonts w:cs="Arial"/>
                <w:szCs w:val="24"/>
              </w:rPr>
              <w:t>£’000</w:t>
            </w:r>
          </w:p>
        </w:tc>
        <w:tc>
          <w:tcPr>
            <w:tcW w:w="1404" w:type="dxa"/>
            <w:tcBorders>
              <w:top w:val="nil"/>
              <w:left w:val="nil"/>
              <w:bottom w:val="single" w:sz="8" w:space="0" w:color="auto"/>
              <w:right w:val="single" w:sz="8" w:space="0" w:color="auto"/>
            </w:tcBorders>
          </w:tcPr>
          <w:p w:rsidR="00AC20C2" w:rsidRPr="00031C5C" w:rsidRDefault="00AC20C2" w:rsidP="00031C5C">
            <w:pPr>
              <w:jc w:val="center"/>
              <w:rPr>
                <w:rFonts w:cs="Arial"/>
                <w:szCs w:val="24"/>
              </w:rPr>
            </w:pPr>
          </w:p>
        </w:tc>
      </w:tr>
      <w:tr w:rsidR="00AC20C2" w:rsidRPr="00B63C98" w:rsidTr="00C6530C">
        <w:trPr>
          <w:trHeight w:val="3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0C2" w:rsidRPr="00B63C98" w:rsidRDefault="00AC20C2" w:rsidP="00031C5C">
            <w:pPr>
              <w:jc w:val="center"/>
              <w:rPr>
                <w:rFonts w:cs="Arial"/>
                <w:szCs w:val="24"/>
              </w:rPr>
            </w:pPr>
            <w:r w:rsidRPr="00B63C98">
              <w:rPr>
                <w:rFonts w:cs="Arial"/>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0C2" w:rsidRPr="00B63C98" w:rsidRDefault="00AC20C2" w:rsidP="00031C5C">
            <w:pPr>
              <w:jc w:val="center"/>
              <w:rPr>
                <w:rFonts w:cs="Arial"/>
                <w:szCs w:val="24"/>
              </w:rPr>
            </w:pPr>
            <w:r w:rsidRPr="00B63C98">
              <w:rPr>
                <w:rFonts w:cs="Arial"/>
                <w:szCs w:val="24"/>
              </w:rPr>
              <w:t>207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0C2" w:rsidRPr="00B63C98" w:rsidRDefault="00AC20C2" w:rsidP="00031C5C">
            <w:pPr>
              <w:jc w:val="center"/>
              <w:rPr>
                <w:rFonts w:cs="Arial"/>
                <w:szCs w:val="24"/>
              </w:rPr>
            </w:pPr>
            <w:r w:rsidRPr="00B63C98">
              <w:rPr>
                <w:rFonts w:cs="Arial"/>
                <w:szCs w:val="24"/>
              </w:rPr>
              <w:t>207</w:t>
            </w:r>
          </w:p>
        </w:tc>
        <w:tc>
          <w:tcPr>
            <w:tcW w:w="1404" w:type="dxa"/>
            <w:tcBorders>
              <w:top w:val="nil"/>
              <w:left w:val="nil"/>
              <w:bottom w:val="single" w:sz="8" w:space="0" w:color="auto"/>
              <w:right w:val="single" w:sz="8" w:space="0" w:color="auto"/>
            </w:tcBorders>
          </w:tcPr>
          <w:p w:rsidR="00AC20C2" w:rsidRPr="00B63C98" w:rsidRDefault="00AC20C2" w:rsidP="00031C5C">
            <w:pPr>
              <w:jc w:val="center"/>
              <w:rPr>
                <w:rFonts w:cs="Arial"/>
                <w:szCs w:val="24"/>
              </w:rPr>
            </w:pPr>
            <w:r>
              <w:rPr>
                <w:rFonts w:cs="Arial"/>
                <w:szCs w:val="24"/>
              </w:rPr>
              <w:t>(866)</w:t>
            </w:r>
          </w:p>
        </w:tc>
      </w:tr>
    </w:tbl>
    <w:p w:rsidR="00B63C98" w:rsidRPr="00B63C98" w:rsidRDefault="00B63C98" w:rsidP="00B63C98">
      <w:pPr>
        <w:spacing w:after="240"/>
        <w:rPr>
          <w:rFonts w:cs="Arial"/>
          <w:b/>
          <w:szCs w:val="24"/>
        </w:rPr>
      </w:pP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As at </w:t>
      </w:r>
      <w:r w:rsidR="005E0AD9">
        <w:rPr>
          <w:rFonts w:cs="Arial"/>
          <w:szCs w:val="24"/>
        </w:rPr>
        <w:t>Quarter 3</w:t>
      </w:r>
      <w:r w:rsidRPr="00B63C98">
        <w:rPr>
          <w:rFonts w:cs="Arial"/>
          <w:szCs w:val="24"/>
        </w:rPr>
        <w:t xml:space="preserve"> the total forecast overspend for the Directorate is £1.386m, which reduces to £0.520m after the use of a one off Children’s Social Care reserve of £0.866m.</w:t>
      </w:r>
    </w:p>
    <w:p w:rsidR="00B63C98" w:rsidRPr="00B63C98" w:rsidRDefault="00B63C98" w:rsidP="00B63C98">
      <w:pPr>
        <w:numPr>
          <w:ilvl w:val="0"/>
          <w:numId w:val="9"/>
        </w:numPr>
        <w:spacing w:after="240"/>
        <w:ind w:hanging="720"/>
        <w:rPr>
          <w:rFonts w:cs="Arial"/>
          <w:szCs w:val="24"/>
        </w:rPr>
      </w:pPr>
      <w:r w:rsidRPr="00B63C98">
        <w:rPr>
          <w:rFonts w:cs="Arial"/>
          <w:szCs w:val="24"/>
        </w:rPr>
        <w:t>It is also anticipated that a further £313k of pressures can be mitigated by additional one off recently identified actions therefore reducing the forecast overspend to £207k.</w:t>
      </w:r>
    </w:p>
    <w:p w:rsidR="00B63C98" w:rsidRPr="00B63C98" w:rsidRDefault="00B63C98" w:rsidP="00B63C98">
      <w:pPr>
        <w:numPr>
          <w:ilvl w:val="0"/>
          <w:numId w:val="9"/>
        </w:numPr>
        <w:spacing w:after="240"/>
        <w:ind w:hanging="720"/>
        <w:rPr>
          <w:rFonts w:cs="Arial"/>
          <w:szCs w:val="24"/>
        </w:rPr>
      </w:pPr>
      <w:r w:rsidRPr="00B63C98">
        <w:rPr>
          <w:rFonts w:cs="Arial"/>
          <w:szCs w:val="24"/>
        </w:rPr>
        <w:t>The majority of Children’s budgets are demand led and the Council has a statutory duty to meet vulnerable children’s needs. It is therefore challenging to balance the budget.</w:t>
      </w:r>
    </w:p>
    <w:p w:rsidR="00B63C98" w:rsidRPr="00B63C98" w:rsidRDefault="00B63C98" w:rsidP="00B63C98">
      <w:pPr>
        <w:numPr>
          <w:ilvl w:val="0"/>
          <w:numId w:val="9"/>
        </w:numPr>
        <w:spacing w:after="240"/>
        <w:ind w:hanging="720"/>
        <w:rPr>
          <w:rFonts w:cs="Arial"/>
          <w:szCs w:val="24"/>
        </w:rPr>
      </w:pPr>
      <w:r w:rsidRPr="00B63C98">
        <w:rPr>
          <w:rFonts w:cs="Arial"/>
          <w:szCs w:val="24"/>
        </w:rPr>
        <w:t>The main areas of pressure totalling £2.589m are as follows:</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Special Needs Transport £0.698m pressures. Special Needs Transport underwent a significant review in 2014/15 with a view to achieving a further £0.570m savings target. It was only possible to meet approximately half of this savings target due in main to contract prices being higher than anticipated. This contributes to part of </w:t>
      </w:r>
      <w:proofErr w:type="gramStart"/>
      <w:r w:rsidRPr="00B63C98">
        <w:rPr>
          <w:rFonts w:cs="Arial"/>
          <w:szCs w:val="24"/>
        </w:rPr>
        <w:t>the overspend</w:t>
      </w:r>
      <w:proofErr w:type="gramEnd"/>
      <w:r w:rsidRPr="00B63C98">
        <w:rPr>
          <w:rFonts w:cs="Arial"/>
          <w:szCs w:val="24"/>
        </w:rPr>
        <w:t>. The remainder is due to demand, particularly for transport from home to colleges as the SEND reforms that extends special educational provision to age 25 years has led to an increased number of young adults with complex needs continuing in education.</w:t>
      </w:r>
    </w:p>
    <w:p w:rsidR="00B63C98" w:rsidRPr="00B63C98" w:rsidRDefault="00B63C98" w:rsidP="00B63C98">
      <w:pPr>
        <w:numPr>
          <w:ilvl w:val="0"/>
          <w:numId w:val="9"/>
        </w:numPr>
        <w:spacing w:after="240"/>
        <w:ind w:hanging="720"/>
        <w:rPr>
          <w:rFonts w:cs="Arial"/>
          <w:szCs w:val="24"/>
        </w:rPr>
      </w:pPr>
      <w:r w:rsidRPr="00B63C98">
        <w:rPr>
          <w:rFonts w:cs="Arial"/>
          <w:szCs w:val="24"/>
        </w:rPr>
        <w:t>Children with Disabilities Service staffing £41k pressures to manage caseloads and client costs £356k due to demand and a single young person with high and extraordinary needs. There are currently 217 children being supported through Direct Payments, 161 families being supported through Section 17 and 40 children receiving home care packages.</w:t>
      </w:r>
    </w:p>
    <w:p w:rsidR="00B63C98" w:rsidRPr="00B63C98" w:rsidRDefault="00B63C98" w:rsidP="00B63C98">
      <w:pPr>
        <w:numPr>
          <w:ilvl w:val="0"/>
          <w:numId w:val="9"/>
        </w:numPr>
        <w:spacing w:after="240"/>
        <w:ind w:hanging="720"/>
        <w:rPr>
          <w:rFonts w:cs="Arial"/>
          <w:szCs w:val="24"/>
        </w:rPr>
      </w:pPr>
      <w:r w:rsidRPr="00B63C98">
        <w:rPr>
          <w:rFonts w:cs="Arial"/>
          <w:szCs w:val="24"/>
        </w:rPr>
        <w:lastRenderedPageBreak/>
        <w:t>£379k Placements pressure mainly resulting from an increase in the number of children in high cost residential placements. During November 2015 and December 2015, Children’s services have made 4 additional placements of young people in out of borough high cost residential placements. These placements have been needed in response to significant risks relating to child sexual exploitation (CSE) and gangs involvement. The duration of these placements will be tightly managed. In addition an extra-ordinary panel has been scheduled to review all the high cost residential placements to ensure that these placements are ended safely as soon as possible to reduce the costs, and ensure they are best value.</w:t>
      </w:r>
    </w:p>
    <w:p w:rsidR="00B63C98" w:rsidRPr="00B63C98" w:rsidRDefault="00B63C98" w:rsidP="00B63C98">
      <w:pPr>
        <w:numPr>
          <w:ilvl w:val="0"/>
          <w:numId w:val="9"/>
        </w:numPr>
        <w:spacing w:after="240"/>
        <w:ind w:hanging="720"/>
        <w:rPr>
          <w:rFonts w:cs="Arial"/>
          <w:szCs w:val="24"/>
        </w:rPr>
      </w:pPr>
      <w:r w:rsidRPr="00B63C98">
        <w:rPr>
          <w:rFonts w:cs="Arial"/>
          <w:szCs w:val="24"/>
        </w:rPr>
        <w:t>Children and Young People’s Service staffing £0.542m pressure as a result of agency and interims covering vacancies and sickness and additional staff to manage caseloads.</w:t>
      </w:r>
    </w:p>
    <w:p w:rsidR="00B63C98" w:rsidRPr="00B63C98" w:rsidRDefault="00B63C98" w:rsidP="00B63C98">
      <w:pPr>
        <w:numPr>
          <w:ilvl w:val="0"/>
          <w:numId w:val="9"/>
        </w:numPr>
        <w:spacing w:after="240"/>
        <w:ind w:hanging="720"/>
        <w:rPr>
          <w:rFonts w:cs="Arial"/>
          <w:szCs w:val="24"/>
        </w:rPr>
      </w:pPr>
      <w:r w:rsidRPr="00B63C98">
        <w:rPr>
          <w:rFonts w:cs="Arial"/>
          <w:szCs w:val="24"/>
        </w:rPr>
        <w:t>There is a pressure on the Children’s and Families budget of £0.573m due to families being supported by the Council because they have no recourse to public funds (NRPF). The welfare reforms, along with stricter enforcement of Asylum Legislation are the main causal factors for this demand, which is unpredictable in terms of volume and costs. The exit routes for ceasing funding are dependent on variable factors, many of which cannot be controlled by the Council. A bespoke worker has been recruited to focus specifically on these families to help reduce costs, and mitigate the financial pressures on this budget.</w:t>
      </w:r>
    </w:p>
    <w:p w:rsidR="00B63C98" w:rsidRPr="00B63C98" w:rsidRDefault="00B63C98" w:rsidP="00B63C98">
      <w:pPr>
        <w:numPr>
          <w:ilvl w:val="0"/>
          <w:numId w:val="9"/>
        </w:numPr>
        <w:spacing w:after="240"/>
        <w:ind w:hanging="720"/>
        <w:rPr>
          <w:rFonts w:cs="Arial"/>
          <w:szCs w:val="24"/>
        </w:rPr>
      </w:pPr>
      <w:r w:rsidRPr="00B63C98">
        <w:rPr>
          <w:rFonts w:cs="Arial"/>
          <w:szCs w:val="24"/>
        </w:rPr>
        <w:t>These pressures are partially reduced by:</w:t>
      </w:r>
    </w:p>
    <w:p w:rsidR="00B63C98" w:rsidRPr="00B63C98" w:rsidRDefault="00B63C98" w:rsidP="00B63C98">
      <w:pPr>
        <w:numPr>
          <w:ilvl w:val="0"/>
          <w:numId w:val="9"/>
        </w:numPr>
        <w:spacing w:after="240"/>
        <w:ind w:hanging="720"/>
        <w:rPr>
          <w:rFonts w:cs="Arial"/>
          <w:szCs w:val="24"/>
        </w:rPr>
      </w:pPr>
      <w:r w:rsidRPr="00B63C98">
        <w:rPr>
          <w:rFonts w:cs="Arial"/>
          <w:szCs w:val="24"/>
        </w:rPr>
        <w:t>Use of one off children’s social care reserve of £0.866m.</w:t>
      </w:r>
    </w:p>
    <w:p w:rsidR="00B63C98" w:rsidRPr="00B63C98" w:rsidRDefault="00B63C98" w:rsidP="00B63C98">
      <w:pPr>
        <w:numPr>
          <w:ilvl w:val="0"/>
          <w:numId w:val="9"/>
        </w:numPr>
        <w:spacing w:after="240"/>
        <w:ind w:hanging="720"/>
        <w:rPr>
          <w:rFonts w:cs="Arial"/>
          <w:szCs w:val="24"/>
        </w:rPr>
      </w:pPr>
      <w:r w:rsidRPr="00B63C98">
        <w:rPr>
          <w:rFonts w:cs="Arial"/>
          <w:szCs w:val="24"/>
        </w:rPr>
        <w:t>Non-frontline staff vacancies and a number of centrally held management actions of £1.516m including demographic growth £413k and flexible use of grants £0.813m.</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The demand led nature of Children’s Services budgets means </w:t>
      </w:r>
      <w:r w:rsidR="005A34DF">
        <w:rPr>
          <w:rFonts w:cs="Arial"/>
          <w:szCs w:val="24"/>
        </w:rPr>
        <w:t xml:space="preserve">that the budgets must continue to be closely monitored in future years.  </w:t>
      </w:r>
      <w:r w:rsidRPr="00B63C98">
        <w:rPr>
          <w:rFonts w:cs="Arial"/>
          <w:szCs w:val="24"/>
        </w:rPr>
        <w:t xml:space="preserve">. Of the 2015/16 management actions, only approximately £0.600m of these will continue into 2016/17 as well as an additional further future allocation of £400k for demographic growth taking these management actions to approximately £1m. Therefore </w:t>
      </w:r>
      <w:r w:rsidR="005A34DF">
        <w:rPr>
          <w:rFonts w:cs="Arial"/>
          <w:szCs w:val="24"/>
        </w:rPr>
        <w:t>further management actions will be needed should the pressure continue in future years.</w:t>
      </w:r>
      <w:r w:rsidR="005A34DF" w:rsidRPr="00B63C98" w:rsidDel="005A34DF">
        <w:rPr>
          <w:rFonts w:cs="Arial"/>
          <w:szCs w:val="24"/>
        </w:rPr>
        <w:t xml:space="preserve"> </w:t>
      </w:r>
      <w:proofErr w:type="gramStart"/>
      <w:r w:rsidRPr="00B63C98">
        <w:rPr>
          <w:rFonts w:cs="Arial"/>
          <w:szCs w:val="24"/>
        </w:rPr>
        <w:t>The overspend</w:t>
      </w:r>
      <w:proofErr w:type="gramEnd"/>
      <w:r w:rsidRPr="00B63C98">
        <w:rPr>
          <w:rFonts w:cs="Arial"/>
          <w:szCs w:val="24"/>
        </w:rPr>
        <w:t xml:space="preserve"> of £207k is a net increase of £207k from the balanced position reported at </w:t>
      </w:r>
      <w:r w:rsidR="005E0AD9">
        <w:rPr>
          <w:rFonts w:cs="Arial"/>
          <w:szCs w:val="24"/>
        </w:rPr>
        <w:t>Quarter 2</w:t>
      </w:r>
      <w:r w:rsidRPr="00B63C98">
        <w:rPr>
          <w:rFonts w:cs="Arial"/>
          <w:szCs w:val="24"/>
        </w:rPr>
        <w:t xml:space="preserve">. The main reason for this is an increase in forecast placement spend mainly resulting from a number of additional children being placed in high cost residential homes. </w:t>
      </w:r>
    </w:p>
    <w:p w:rsidR="00B63C98" w:rsidRPr="00B63C98" w:rsidRDefault="00B63C98" w:rsidP="003D460D">
      <w:pPr>
        <w:spacing w:after="240"/>
        <w:rPr>
          <w:rFonts w:cs="Arial"/>
          <w:b/>
          <w:szCs w:val="24"/>
        </w:rPr>
      </w:pPr>
      <w:r w:rsidRPr="00B63C98">
        <w:rPr>
          <w:rFonts w:cs="Arial"/>
          <w:b/>
          <w:szCs w:val="24"/>
        </w:rPr>
        <w:t>PUBLIC HEALTH</w:t>
      </w:r>
    </w:p>
    <w:tbl>
      <w:tblPr>
        <w:tblW w:w="0" w:type="auto"/>
        <w:tblInd w:w="93" w:type="dxa"/>
        <w:tblCellMar>
          <w:left w:w="0" w:type="dxa"/>
          <w:right w:w="0" w:type="dxa"/>
        </w:tblCellMar>
        <w:tblLook w:val="04A0" w:firstRow="1" w:lastRow="0" w:firstColumn="1" w:lastColumn="0" w:noHBand="0" w:noVBand="1"/>
      </w:tblPr>
      <w:tblGrid>
        <w:gridCol w:w="1831"/>
        <w:gridCol w:w="1964"/>
        <w:gridCol w:w="1337"/>
      </w:tblGrid>
      <w:tr w:rsidR="00B63C98" w:rsidRPr="00B63C98" w:rsidTr="00031C5C">
        <w:trPr>
          <w:trHeight w:val="600"/>
        </w:trPr>
        <w:tc>
          <w:tcPr>
            <w:tcW w:w="0" w:type="auto"/>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Q2 (to 30.9.15)</w:t>
            </w:r>
          </w:p>
        </w:tc>
        <w:tc>
          <w:tcPr>
            <w:tcW w:w="0" w:type="auto"/>
            <w:tcBorders>
              <w:top w:val="single" w:sz="8" w:space="0" w:color="auto"/>
              <w:left w:val="nil"/>
              <w:bottom w:val="nil"/>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Q3 (to 31.12.15)</w:t>
            </w:r>
          </w:p>
        </w:tc>
        <w:tc>
          <w:tcPr>
            <w:tcW w:w="0" w:type="auto"/>
            <w:tcBorders>
              <w:top w:val="single" w:sz="8" w:space="0" w:color="auto"/>
              <w:left w:val="nil"/>
              <w:bottom w:val="nil"/>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Movement</w:t>
            </w:r>
          </w:p>
        </w:tc>
      </w:tr>
      <w:tr w:rsidR="00B63C98" w:rsidRPr="00B63C98" w:rsidTr="00031C5C">
        <w:trPr>
          <w:trHeight w:val="300"/>
        </w:trPr>
        <w:tc>
          <w:tcPr>
            <w:tcW w:w="0" w:type="auto"/>
            <w:tcBorders>
              <w:top w:val="nil"/>
              <w:left w:val="single" w:sz="8" w:space="0" w:color="auto"/>
              <w:bottom w:val="nil"/>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Variance</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Variance</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p>
        </w:tc>
      </w:tr>
      <w:tr w:rsidR="00B63C98" w:rsidRPr="00B63C98" w:rsidTr="00031C5C">
        <w:trPr>
          <w:trHeight w:val="3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C98" w:rsidRPr="00031C5C" w:rsidRDefault="00B63C98" w:rsidP="00031C5C">
            <w:pPr>
              <w:jc w:val="center"/>
              <w:rPr>
                <w:rFonts w:cs="Arial"/>
                <w:szCs w:val="24"/>
              </w:rPr>
            </w:pPr>
            <w:r w:rsidRPr="00031C5C">
              <w:rPr>
                <w:rFonts w:cs="Arial"/>
                <w:szCs w:val="24"/>
              </w:rPr>
              <w:t>£’000</w:t>
            </w:r>
          </w:p>
        </w:tc>
      </w:tr>
      <w:tr w:rsidR="00B63C98" w:rsidRPr="00B63C98" w:rsidTr="00031C5C">
        <w:trPr>
          <w:trHeight w:val="3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3C98" w:rsidRPr="00B63C98" w:rsidRDefault="00B63C98" w:rsidP="00031C5C">
            <w:pPr>
              <w:jc w:val="center"/>
              <w:rPr>
                <w:rFonts w:cs="Arial"/>
                <w:szCs w:val="24"/>
              </w:rPr>
            </w:pPr>
            <w:r w:rsidRPr="00B63C98">
              <w:rPr>
                <w:rFonts w:cs="Arial"/>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C98" w:rsidRPr="00B63C98" w:rsidRDefault="00B63C98" w:rsidP="00031C5C">
            <w:pPr>
              <w:jc w:val="center"/>
              <w:rPr>
                <w:rFonts w:cs="Arial"/>
                <w:szCs w:val="24"/>
              </w:rPr>
            </w:pPr>
            <w:r w:rsidRPr="00B63C98">
              <w:rPr>
                <w:rFonts w:cs="Arial"/>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3C98" w:rsidRPr="00B63C98" w:rsidRDefault="00B63C98" w:rsidP="00031C5C">
            <w:pPr>
              <w:jc w:val="center"/>
              <w:rPr>
                <w:rFonts w:cs="Arial"/>
                <w:szCs w:val="24"/>
              </w:rPr>
            </w:pPr>
            <w:r w:rsidRPr="00B63C98">
              <w:rPr>
                <w:rFonts w:cs="Arial"/>
                <w:szCs w:val="24"/>
              </w:rPr>
              <w:t>0</w:t>
            </w:r>
          </w:p>
        </w:tc>
      </w:tr>
    </w:tbl>
    <w:p w:rsidR="00B63C98" w:rsidRPr="00B63C98" w:rsidRDefault="00B63C98" w:rsidP="008F1D65">
      <w:pPr>
        <w:spacing w:before="120" w:after="240"/>
        <w:rPr>
          <w:rFonts w:cs="Arial"/>
          <w:bCs/>
          <w:i/>
          <w:szCs w:val="24"/>
        </w:rPr>
      </w:pPr>
      <w:r w:rsidRPr="00B63C98">
        <w:rPr>
          <w:rFonts w:cs="Arial"/>
          <w:bCs/>
          <w:i/>
          <w:szCs w:val="24"/>
        </w:rPr>
        <w:lastRenderedPageBreak/>
        <w:t xml:space="preserve">Note: There will be no variation on the grant as in year variations are adjusted to/from the specific public health reserve.  </w:t>
      </w:r>
      <w:r w:rsidR="00A10BDE" w:rsidRPr="00B63C98">
        <w:rPr>
          <w:rFonts w:cs="Arial"/>
          <w:bCs/>
          <w:i/>
          <w:szCs w:val="24"/>
        </w:rPr>
        <w:t>The in</w:t>
      </w:r>
      <w:r w:rsidR="00A10BDE">
        <w:rPr>
          <w:rFonts w:cs="Arial"/>
          <w:bCs/>
          <w:i/>
          <w:szCs w:val="24"/>
        </w:rPr>
        <w:t>-</w:t>
      </w:r>
      <w:r w:rsidR="00A10BDE" w:rsidRPr="00B63C98">
        <w:rPr>
          <w:rFonts w:cs="Arial"/>
          <w:bCs/>
          <w:i/>
          <w:szCs w:val="24"/>
        </w:rPr>
        <w:t>year position at Q</w:t>
      </w:r>
      <w:r w:rsidR="00A10BDE">
        <w:rPr>
          <w:rFonts w:cs="Arial"/>
          <w:bCs/>
          <w:i/>
          <w:szCs w:val="24"/>
        </w:rPr>
        <w:t xml:space="preserve">uarter </w:t>
      </w:r>
      <w:r w:rsidR="00A10BDE" w:rsidRPr="00B63C98">
        <w:rPr>
          <w:rFonts w:cs="Arial"/>
          <w:bCs/>
          <w:i/>
          <w:szCs w:val="24"/>
        </w:rPr>
        <w:t xml:space="preserve">2 reflected an in year deficit of £115k which has reduced to £87k for Q3. </w:t>
      </w:r>
      <w:r w:rsidRPr="00B63C98">
        <w:rPr>
          <w:rFonts w:cs="Arial"/>
          <w:bCs/>
          <w:i/>
          <w:szCs w:val="24"/>
        </w:rPr>
        <w:t xml:space="preserve">This is largely due to forecast reduction in </w:t>
      </w:r>
      <w:proofErr w:type="gramStart"/>
      <w:r w:rsidRPr="00B63C98">
        <w:rPr>
          <w:rFonts w:cs="Arial"/>
          <w:bCs/>
          <w:i/>
          <w:szCs w:val="24"/>
        </w:rPr>
        <w:t>spend</w:t>
      </w:r>
      <w:proofErr w:type="gramEnd"/>
      <w:r w:rsidRPr="00B63C98">
        <w:rPr>
          <w:rFonts w:cs="Arial"/>
          <w:bCs/>
          <w:i/>
          <w:szCs w:val="24"/>
        </w:rPr>
        <w:t xml:space="preserve"> against Health Checks and Sexual Health Services which has been based on the latest available information.</w:t>
      </w:r>
    </w:p>
    <w:p w:rsidR="00B63C98" w:rsidRPr="00B63C98" w:rsidRDefault="00B63C98" w:rsidP="00B63C98">
      <w:pPr>
        <w:numPr>
          <w:ilvl w:val="0"/>
          <w:numId w:val="9"/>
        </w:numPr>
        <w:spacing w:after="240"/>
        <w:ind w:hanging="720"/>
        <w:rPr>
          <w:rFonts w:cs="Arial"/>
          <w:szCs w:val="24"/>
        </w:rPr>
      </w:pPr>
      <w:r w:rsidRPr="00B63C98">
        <w:rPr>
          <w:rFonts w:cs="Arial"/>
          <w:szCs w:val="24"/>
        </w:rPr>
        <w:t xml:space="preserve">The 2015/16 budget process created capacity of £0.627m in the grant against which wider public health outcomes could be charged, with a further increase agreed in year of £100k, taking the total to £0.727m. </w:t>
      </w:r>
    </w:p>
    <w:p w:rsidR="00B63C98" w:rsidRPr="00B63C98" w:rsidRDefault="00B63C98" w:rsidP="00B63C98">
      <w:pPr>
        <w:numPr>
          <w:ilvl w:val="0"/>
          <w:numId w:val="9"/>
        </w:numPr>
        <w:spacing w:after="240"/>
        <w:ind w:hanging="720"/>
        <w:rPr>
          <w:rFonts w:cs="Arial"/>
          <w:szCs w:val="24"/>
        </w:rPr>
      </w:pPr>
      <w:r w:rsidRPr="00B63C98">
        <w:rPr>
          <w:rFonts w:cs="Arial"/>
          <w:szCs w:val="24"/>
        </w:rPr>
        <w:t>A specific public reserve of £0.908m was held at the end of 2014/15.  This included £0.508m approved as carry forwards against specific projects.  In light of the in</w:t>
      </w:r>
      <w:r w:rsidR="008F1D65">
        <w:rPr>
          <w:rFonts w:cs="Arial"/>
          <w:szCs w:val="24"/>
        </w:rPr>
        <w:t>-</w:t>
      </w:r>
      <w:r w:rsidRPr="00B63C98">
        <w:rPr>
          <w:rFonts w:cs="Arial"/>
          <w:szCs w:val="24"/>
        </w:rPr>
        <w:t xml:space="preserve"> year grant reduction, the commitments have been reviewed and projects ceased where possible, resulting in spend of £463k.  </w:t>
      </w:r>
    </w:p>
    <w:p w:rsidR="00B63C98" w:rsidRPr="00B63C98" w:rsidRDefault="00A10BDE" w:rsidP="00B63C98">
      <w:pPr>
        <w:numPr>
          <w:ilvl w:val="0"/>
          <w:numId w:val="9"/>
        </w:numPr>
        <w:spacing w:after="240"/>
        <w:ind w:hanging="720"/>
        <w:rPr>
          <w:rFonts w:cs="Arial"/>
          <w:szCs w:val="24"/>
        </w:rPr>
      </w:pPr>
      <w:r w:rsidRPr="00B63C98">
        <w:rPr>
          <w:rFonts w:cs="Arial"/>
          <w:szCs w:val="24"/>
        </w:rPr>
        <w:t>The in</w:t>
      </w:r>
      <w:r>
        <w:rPr>
          <w:rFonts w:cs="Arial"/>
          <w:szCs w:val="24"/>
        </w:rPr>
        <w:t>-</w:t>
      </w:r>
      <w:r w:rsidRPr="00B63C98">
        <w:rPr>
          <w:rFonts w:cs="Arial"/>
          <w:szCs w:val="24"/>
        </w:rPr>
        <w:t>year position indicates a deficit of £87k, arising from the in</w:t>
      </w:r>
      <w:r>
        <w:rPr>
          <w:rFonts w:cs="Arial"/>
          <w:szCs w:val="24"/>
        </w:rPr>
        <w:t>-</w:t>
      </w:r>
      <w:r w:rsidRPr="00B63C98">
        <w:rPr>
          <w:rFonts w:cs="Arial"/>
          <w:szCs w:val="24"/>
        </w:rPr>
        <w:t xml:space="preserve">year grant reduction of £0.665m and fully delivering the MTFS savings of £0.727m.  </w:t>
      </w:r>
      <w:r w:rsidR="00B63C98" w:rsidRPr="00B63C98">
        <w:rPr>
          <w:rFonts w:cs="Arial"/>
          <w:szCs w:val="24"/>
        </w:rPr>
        <w:t xml:space="preserve">This deficit will need to be drawn down from the reserve to balance </w:t>
      </w:r>
      <w:proofErr w:type="gramStart"/>
      <w:r w:rsidR="00B63C98" w:rsidRPr="00B63C98">
        <w:rPr>
          <w:rFonts w:cs="Arial"/>
          <w:szCs w:val="24"/>
        </w:rPr>
        <w:t>the spend</w:t>
      </w:r>
      <w:proofErr w:type="gramEnd"/>
      <w:r w:rsidR="00B63C98" w:rsidRPr="00B63C98">
        <w:rPr>
          <w:rFonts w:cs="Arial"/>
          <w:szCs w:val="24"/>
        </w:rPr>
        <w:t xml:space="preserve"> within the grant available.</w:t>
      </w:r>
    </w:p>
    <w:p w:rsidR="00B63C98" w:rsidRPr="00B63C98" w:rsidRDefault="00B63C98" w:rsidP="00B63C98">
      <w:pPr>
        <w:numPr>
          <w:ilvl w:val="0"/>
          <w:numId w:val="9"/>
        </w:numPr>
        <w:spacing w:after="240"/>
        <w:ind w:hanging="720"/>
        <w:rPr>
          <w:rFonts w:cs="Arial"/>
          <w:szCs w:val="24"/>
        </w:rPr>
      </w:pPr>
      <w:r w:rsidRPr="00B63C98">
        <w:rPr>
          <w:rFonts w:cs="Arial"/>
          <w:szCs w:val="24"/>
        </w:rPr>
        <w:t>As a result of the in</w:t>
      </w:r>
      <w:r w:rsidR="008F1D65">
        <w:rPr>
          <w:rFonts w:cs="Arial"/>
          <w:szCs w:val="24"/>
        </w:rPr>
        <w:t>-</w:t>
      </w:r>
      <w:r w:rsidRPr="00B63C98">
        <w:rPr>
          <w:rFonts w:cs="Arial"/>
          <w:szCs w:val="24"/>
        </w:rPr>
        <w:t xml:space="preserve">year position, it will be necessary to reduce the reserve to be held at the end of the financial year from £400k to £358k.  This reserve is held for any contingent liabilities, redundancies arising from any restructures and as a GUM reserve.  It is necessary to hold a GUM reserve as activity is demand led (latest forecasts are based on actual services provided to July 2015) and to support the collaborative commissioning process expected to be implemented in April 2017.  </w:t>
      </w:r>
    </w:p>
    <w:p w:rsidR="00B63C98" w:rsidRDefault="00B63C98" w:rsidP="008F1D65">
      <w:pPr>
        <w:spacing w:after="240"/>
        <w:rPr>
          <w:rFonts w:cs="Arial"/>
          <w:szCs w:val="24"/>
        </w:rPr>
      </w:pPr>
      <w:r w:rsidRPr="00B63C98">
        <w:rPr>
          <w:rFonts w:cs="Arial"/>
          <w:szCs w:val="24"/>
        </w:rPr>
        <w:t xml:space="preserve">The movement on the </w:t>
      </w:r>
      <w:r w:rsidR="0052035E">
        <w:rPr>
          <w:rFonts w:cs="Arial"/>
          <w:szCs w:val="24"/>
        </w:rPr>
        <w:t xml:space="preserve">Public Health </w:t>
      </w:r>
      <w:r w:rsidRPr="00B63C98">
        <w:rPr>
          <w:rFonts w:cs="Arial"/>
          <w:szCs w:val="24"/>
        </w:rPr>
        <w:t xml:space="preserve">reserve is set out below: </w:t>
      </w:r>
    </w:p>
    <w:p w:rsidR="008F1D65" w:rsidRPr="002A0BD7" w:rsidRDefault="008F1D65" w:rsidP="008F1D65">
      <w:pPr>
        <w:rPr>
          <w:b/>
        </w:rPr>
      </w:pPr>
      <w:r>
        <w:tab/>
      </w:r>
      <w:r>
        <w:tab/>
      </w:r>
      <w:r>
        <w:tab/>
      </w:r>
      <w:r>
        <w:tab/>
      </w:r>
      <w:r>
        <w:tab/>
      </w:r>
      <w:r>
        <w:tab/>
      </w:r>
      <w:r>
        <w:tab/>
      </w:r>
      <w:r w:rsidRPr="002A0BD7">
        <w:rPr>
          <w:b/>
        </w:rPr>
        <w:t>£’000</w:t>
      </w:r>
    </w:p>
    <w:p w:rsidR="008F1D65" w:rsidRDefault="008F1D65" w:rsidP="008F1D65">
      <w:pPr>
        <w:tabs>
          <w:tab w:val="right" w:pos="5670"/>
        </w:tabs>
      </w:pPr>
      <w:r>
        <w:t xml:space="preserve">2014/15 Public Health Reserve </w:t>
      </w:r>
      <w:proofErr w:type="gramStart"/>
      <w:r>
        <w:t>c/f</w:t>
      </w:r>
      <w:proofErr w:type="gramEnd"/>
      <w:r>
        <w:tab/>
        <w:t xml:space="preserve">  908</w:t>
      </w:r>
    </w:p>
    <w:p w:rsidR="008F1D65" w:rsidRDefault="008F1D65" w:rsidP="008F1D65">
      <w:pPr>
        <w:tabs>
          <w:tab w:val="right" w:pos="5670"/>
        </w:tabs>
      </w:pPr>
      <w:r>
        <w:t>Less spend on carry forward projects</w:t>
      </w:r>
      <w:r>
        <w:tab/>
        <w:t xml:space="preserve"> </w:t>
      </w:r>
      <w:r w:rsidRPr="006C3641">
        <w:rPr>
          <w:u w:val="single"/>
        </w:rPr>
        <w:t>(463)</w:t>
      </w:r>
    </w:p>
    <w:p w:rsidR="008F1D65" w:rsidRDefault="008F1D65" w:rsidP="008F1D65">
      <w:pPr>
        <w:tabs>
          <w:tab w:val="right" w:pos="5670"/>
        </w:tabs>
      </w:pPr>
      <w:r>
        <w:t xml:space="preserve">Reserve at </w:t>
      </w:r>
      <w:r w:rsidR="005E0AD9">
        <w:t>Quarter 2</w:t>
      </w:r>
      <w:r>
        <w:tab/>
        <w:t>445</w:t>
      </w:r>
    </w:p>
    <w:p w:rsidR="008F1D65" w:rsidRDefault="008F1D65" w:rsidP="008F1D65">
      <w:pPr>
        <w:tabs>
          <w:tab w:val="right" w:pos="5670"/>
        </w:tabs>
      </w:pPr>
      <w:r>
        <w:t>2015/16 In year position</w:t>
      </w:r>
      <w:r>
        <w:tab/>
      </w:r>
      <w:r w:rsidRPr="006C3641">
        <w:rPr>
          <w:u w:val="single"/>
        </w:rPr>
        <w:t>(87)</w:t>
      </w:r>
    </w:p>
    <w:p w:rsidR="008F1D65" w:rsidRPr="00B63C98" w:rsidRDefault="008F1D65" w:rsidP="008F1D65">
      <w:pPr>
        <w:spacing w:after="240"/>
        <w:rPr>
          <w:rFonts w:cs="Arial"/>
          <w:szCs w:val="24"/>
        </w:rPr>
      </w:pPr>
      <w:r w:rsidRPr="00177FBE">
        <w:rPr>
          <w:b/>
        </w:rPr>
        <w:t>2015/16 for</w:t>
      </w:r>
      <w:r>
        <w:rPr>
          <w:b/>
        </w:rPr>
        <w:t>ecast Public Health reserve</w:t>
      </w:r>
      <w:r>
        <w:rPr>
          <w:b/>
        </w:rPr>
        <w:tab/>
        <w:t xml:space="preserve">  358</w:t>
      </w:r>
      <w:r w:rsidRPr="00177FBE">
        <w:rPr>
          <w:b/>
        </w:rPr>
        <w:tab/>
      </w:r>
    </w:p>
    <w:bookmarkEnd w:id="2"/>
    <w:p w:rsidR="007A2234" w:rsidRPr="00B75106" w:rsidRDefault="00B75106" w:rsidP="00D44E09">
      <w:pPr>
        <w:rPr>
          <w:rFonts w:cs="Arial"/>
          <w:szCs w:val="24"/>
        </w:rPr>
      </w:pPr>
      <w:r w:rsidRPr="00B75106">
        <w:rPr>
          <w:rFonts w:cs="Arial"/>
          <w:szCs w:val="24"/>
        </w:rPr>
        <w:tab/>
      </w:r>
      <w:r w:rsidRPr="00B75106">
        <w:rPr>
          <w:rFonts w:cs="Arial"/>
          <w:szCs w:val="24"/>
        </w:rPr>
        <w:tab/>
      </w:r>
      <w:r w:rsidRPr="00B75106">
        <w:rPr>
          <w:rFonts w:cs="Arial"/>
          <w:szCs w:val="24"/>
        </w:rPr>
        <w:tab/>
      </w:r>
      <w:r w:rsidRPr="00B75106">
        <w:rPr>
          <w:rFonts w:cs="Arial"/>
          <w:szCs w:val="24"/>
        </w:rPr>
        <w:tab/>
      </w:r>
      <w:r w:rsidR="00987A2E" w:rsidRPr="00987A2E">
        <w:rPr>
          <w:rFonts w:cs="Arial"/>
          <w:szCs w:val="24"/>
        </w:rPr>
        <w:t xml:space="preserve"> </w:t>
      </w:r>
    </w:p>
    <w:bookmarkEnd w:id="1"/>
    <w:p w:rsidR="00741AEB" w:rsidRPr="006B1DE1" w:rsidRDefault="00741AEB" w:rsidP="00741AEB">
      <w:pPr>
        <w:rPr>
          <w:rFonts w:cs="Arial"/>
          <w:b/>
          <w:szCs w:val="24"/>
        </w:rPr>
      </w:pPr>
      <w:r w:rsidRPr="006B1DE1">
        <w:rPr>
          <w:rFonts w:cs="Arial"/>
          <w:b/>
          <w:szCs w:val="24"/>
        </w:rPr>
        <w:t>BUSINESS SUPPORT</w:t>
      </w:r>
    </w:p>
    <w:p w:rsidR="000F0252" w:rsidRDefault="000F0252" w:rsidP="00D44E09">
      <w:pPr>
        <w:numPr>
          <w:ilvl w:val="0"/>
          <w:numId w:val="9"/>
        </w:numPr>
        <w:spacing w:after="240"/>
        <w:ind w:hanging="720"/>
        <w:rPr>
          <w:rFonts w:cs="Arial"/>
          <w:szCs w:val="24"/>
        </w:rPr>
      </w:pPr>
      <w:r w:rsidRPr="00A925C6">
        <w:rPr>
          <w:rFonts w:cs="Arial"/>
          <w:bCs/>
          <w:szCs w:val="24"/>
        </w:rPr>
        <w:t>Business Support is</w:t>
      </w:r>
      <w:r w:rsidRPr="000F0252">
        <w:rPr>
          <w:rFonts w:cs="Arial"/>
          <w:bCs/>
          <w:szCs w:val="24"/>
        </w:rPr>
        <w:t xml:space="preserve"> forecasting an over spend of £453k, a decrease in forecast of £47k from </w:t>
      </w:r>
      <w:r>
        <w:rPr>
          <w:rFonts w:cs="Arial"/>
          <w:bCs/>
          <w:szCs w:val="24"/>
        </w:rPr>
        <w:t>Quarter 2</w:t>
      </w:r>
      <w:r w:rsidRPr="000F0252">
        <w:rPr>
          <w:rFonts w:cs="Arial"/>
          <w:bCs/>
          <w:szCs w:val="24"/>
        </w:rPr>
        <w:t xml:space="preserve">, due to vacant posts </w:t>
      </w:r>
      <w:r>
        <w:rPr>
          <w:rFonts w:cs="Arial"/>
          <w:bCs/>
          <w:szCs w:val="24"/>
        </w:rPr>
        <w:t xml:space="preserve">remaining unfilled. </w:t>
      </w:r>
      <w:proofErr w:type="gramStart"/>
      <w:r>
        <w:rPr>
          <w:rFonts w:cs="Arial"/>
          <w:bCs/>
          <w:szCs w:val="24"/>
        </w:rPr>
        <w:t>The o</w:t>
      </w:r>
      <w:r w:rsidRPr="000F0252">
        <w:rPr>
          <w:rFonts w:cs="Arial"/>
          <w:bCs/>
          <w:szCs w:val="24"/>
        </w:rPr>
        <w:t>verspend</w:t>
      </w:r>
      <w:proofErr w:type="gramEnd"/>
      <w:r w:rsidRPr="000F0252">
        <w:rPr>
          <w:rFonts w:cs="Arial"/>
          <w:bCs/>
          <w:szCs w:val="24"/>
        </w:rPr>
        <w:t xml:space="preserve"> is as a result of staff savings that cannot be achieved within the current structure.  </w:t>
      </w:r>
    </w:p>
    <w:p w:rsidR="007A2234" w:rsidRPr="00BE3735" w:rsidRDefault="007A2234" w:rsidP="00D44E09">
      <w:pPr>
        <w:pStyle w:val="Heading4"/>
        <w:ind w:left="360" w:hanging="360"/>
      </w:pPr>
      <w:bookmarkStart w:id="3" w:name="_Toc372706222"/>
      <w:r w:rsidRPr="00BE3735">
        <w:t>CORPORATE BUDGETS</w:t>
      </w:r>
      <w:bookmarkEnd w:id="3"/>
    </w:p>
    <w:p w:rsidR="000D4392" w:rsidRPr="000D4392" w:rsidRDefault="000D4392" w:rsidP="000D4392">
      <w:pPr>
        <w:numPr>
          <w:ilvl w:val="0"/>
          <w:numId w:val="9"/>
        </w:numPr>
        <w:spacing w:after="240"/>
        <w:ind w:hanging="720"/>
      </w:pPr>
      <w:r w:rsidRPr="000D4392">
        <w:t xml:space="preserve">Corporate </w:t>
      </w:r>
      <w:r>
        <w:t>budgets are forecast to underspend by £1.070m in total, an increase of £432k since Quarter 2. The detail is listed below:`</w:t>
      </w:r>
    </w:p>
    <w:p w:rsidR="007A2234" w:rsidRPr="00F84EA8" w:rsidRDefault="007A2234" w:rsidP="00F84EA8">
      <w:pPr>
        <w:ind w:left="360"/>
        <w:rPr>
          <w:b/>
        </w:rPr>
      </w:pPr>
      <w:r w:rsidRPr="00F84EA8">
        <w:rPr>
          <w:b/>
        </w:rPr>
        <w:t>S31 Grant to compensate for Business Rate Reliefs</w:t>
      </w:r>
    </w:p>
    <w:p w:rsidR="007A2234" w:rsidRDefault="007A2234" w:rsidP="00D44E09">
      <w:pPr>
        <w:numPr>
          <w:ilvl w:val="0"/>
          <w:numId w:val="9"/>
        </w:numPr>
        <w:spacing w:after="240"/>
        <w:ind w:hanging="720"/>
      </w:pPr>
      <w:r>
        <w:t>It is anticipated that there will be an additional £400k of grant in excess of the budget of £0.600m, based on the reliefs given to date this year.</w:t>
      </w:r>
    </w:p>
    <w:p w:rsidR="007A2234" w:rsidRPr="00BE3735" w:rsidRDefault="007A2234" w:rsidP="00AA4AD6">
      <w:pPr>
        <w:pStyle w:val="Heading4"/>
        <w:spacing w:after="240"/>
        <w:ind w:left="360"/>
      </w:pPr>
      <w:r w:rsidRPr="00BE3735">
        <w:lastRenderedPageBreak/>
        <w:t>Contingencies and Reserves</w:t>
      </w:r>
    </w:p>
    <w:p w:rsidR="007A2234" w:rsidRPr="00BE3735" w:rsidRDefault="007A2234" w:rsidP="00F84EA8">
      <w:pPr>
        <w:pStyle w:val="Heading4"/>
        <w:ind w:left="360"/>
      </w:pPr>
      <w:r w:rsidRPr="00BE3735">
        <w:t>Central Contingency</w:t>
      </w:r>
    </w:p>
    <w:p w:rsidR="007A2234" w:rsidRPr="007A2234" w:rsidRDefault="007A2234" w:rsidP="00D44E09">
      <w:pPr>
        <w:numPr>
          <w:ilvl w:val="0"/>
          <w:numId w:val="9"/>
        </w:numPr>
        <w:spacing w:after="240"/>
        <w:ind w:hanging="720"/>
        <w:rPr>
          <w:b/>
        </w:rPr>
      </w:pPr>
      <w:r w:rsidRPr="00BE3735">
        <w:t xml:space="preserve">The Central Contingency for unforeseen items in 2015/16 is £1.248m.  </w:t>
      </w:r>
      <w:r w:rsidR="000D4392">
        <w:t>I</w:t>
      </w:r>
      <w:r w:rsidRPr="00BE3735">
        <w:t xml:space="preserve">n view of the currently projected General Fund overspend before the use of contingency it is assumed that the </w:t>
      </w:r>
      <w:r w:rsidR="000D4392">
        <w:t xml:space="preserve">£0.858m of the </w:t>
      </w:r>
      <w:r w:rsidRPr="00BE3735">
        <w:t xml:space="preserve">contingency will be </w:t>
      </w:r>
      <w:r w:rsidR="000D4392">
        <w:t xml:space="preserve">applied </w:t>
      </w:r>
      <w:r w:rsidRPr="00D645B0">
        <w:t>to</w:t>
      </w:r>
      <w:r>
        <w:t xml:space="preserve"> balance the General Fund position</w:t>
      </w:r>
      <w:r w:rsidRPr="00BE3735">
        <w:t>.</w:t>
      </w:r>
      <w:r>
        <w:t xml:space="preserve"> </w:t>
      </w:r>
      <w:r w:rsidRPr="00BE3735">
        <w:t xml:space="preserve"> </w:t>
      </w:r>
      <w:r>
        <w:t>This would leave a balance of £</w:t>
      </w:r>
      <w:r w:rsidR="00F84EA8">
        <w:t>0.</w:t>
      </w:r>
      <w:r w:rsidR="00D645B0">
        <w:t>390</w:t>
      </w:r>
      <w:r w:rsidR="00F84EA8">
        <w:t>m</w:t>
      </w:r>
      <w:r>
        <w:t xml:space="preserve"> in the contingency.</w:t>
      </w:r>
    </w:p>
    <w:p w:rsidR="007A2234" w:rsidRPr="00F84EA8" w:rsidRDefault="007A2234" w:rsidP="00F84EA8">
      <w:pPr>
        <w:ind w:left="360"/>
        <w:rPr>
          <w:b/>
        </w:rPr>
      </w:pPr>
      <w:r w:rsidRPr="00F84EA8">
        <w:rPr>
          <w:b/>
        </w:rPr>
        <w:t>Gas and Electricity Inflation</w:t>
      </w:r>
    </w:p>
    <w:p w:rsidR="007A2234" w:rsidRDefault="007A2234" w:rsidP="00D44E09">
      <w:pPr>
        <w:numPr>
          <w:ilvl w:val="0"/>
          <w:numId w:val="9"/>
        </w:numPr>
        <w:spacing w:after="240"/>
        <w:ind w:hanging="720"/>
      </w:pPr>
      <w:r w:rsidRPr="00BE3735">
        <w:t xml:space="preserve">£350k has been provided against increases in price. There has been no allocation to date but </w:t>
      </w:r>
      <w:r>
        <w:t xml:space="preserve">any </w:t>
      </w:r>
      <w:r w:rsidRPr="00BE3735">
        <w:t xml:space="preserve">call against this provision will not be established </w:t>
      </w:r>
      <w:r>
        <w:t xml:space="preserve">later in the year.  Given the current energy market it is however considered unlikely that the full amount of the provision would be required anyway and </w:t>
      </w:r>
      <w:proofErr w:type="gramStart"/>
      <w:r>
        <w:t>an underspend</w:t>
      </w:r>
      <w:proofErr w:type="gramEnd"/>
      <w:r>
        <w:t xml:space="preserve"> of £200k can be crystallised at this time</w:t>
      </w:r>
      <w:r w:rsidRPr="00BE3735">
        <w:t xml:space="preserve">. </w:t>
      </w:r>
    </w:p>
    <w:p w:rsidR="00741AEB" w:rsidRPr="006B1DE1" w:rsidRDefault="00741AEB" w:rsidP="00F84EA8">
      <w:pPr>
        <w:pStyle w:val="Heading3"/>
        <w:ind w:hanging="294"/>
        <w:rPr>
          <w:i w:val="0"/>
        </w:rPr>
      </w:pPr>
      <w:r w:rsidRPr="006B1DE1">
        <w:rPr>
          <w:i w:val="0"/>
        </w:rPr>
        <w:t>Contingencies and Reserves</w:t>
      </w:r>
    </w:p>
    <w:p w:rsidR="00741AEB" w:rsidRPr="006B1DE1" w:rsidRDefault="00741AEB" w:rsidP="00E13D48">
      <w:pPr>
        <w:numPr>
          <w:ilvl w:val="0"/>
          <w:numId w:val="9"/>
        </w:numPr>
        <w:spacing w:after="240"/>
        <w:ind w:hanging="720"/>
        <w:rPr>
          <w:rFonts w:cs="Arial"/>
        </w:rPr>
      </w:pPr>
      <w:r w:rsidRPr="006B1DE1">
        <w:t xml:space="preserve">The contingencies are there to cover unavoidable inflation pressures for the pay award and above a standard 1.3% increase on energy together with other unforeseen items and spending pressures and to cover areas of risk and uncertainty.  There are also </w:t>
      </w:r>
      <w:r w:rsidR="00E13D48">
        <w:t xml:space="preserve">a number of </w:t>
      </w:r>
      <w:r w:rsidRPr="006B1DE1">
        <w:t xml:space="preserve">specific reserves for </w:t>
      </w:r>
      <w:r w:rsidR="00E13D48">
        <w:t xml:space="preserve">a variety of purposes as identified in table 4 below. </w:t>
      </w:r>
    </w:p>
    <w:p w:rsidR="00741AEB" w:rsidRPr="006B1DE1" w:rsidRDefault="00E13D48" w:rsidP="00D44E09">
      <w:pPr>
        <w:numPr>
          <w:ilvl w:val="0"/>
          <w:numId w:val="9"/>
        </w:numPr>
        <w:spacing w:after="240"/>
        <w:ind w:hanging="720"/>
        <w:rPr>
          <w:rFonts w:cs="Arial"/>
        </w:rPr>
      </w:pPr>
      <w:r>
        <w:rPr>
          <w:rFonts w:cs="Arial"/>
        </w:rPr>
        <w:t xml:space="preserve">The main changes are additional drawdowns on the TPIF reserve of £409k and MTFS Implementation reserve of £684k. </w:t>
      </w:r>
    </w:p>
    <w:p w:rsidR="00A969AA" w:rsidRDefault="00A969AA">
      <w:pPr>
        <w:rPr>
          <w:b/>
          <w:u w:val="single"/>
        </w:rPr>
      </w:pPr>
    </w:p>
    <w:p w:rsidR="00741AEB" w:rsidRDefault="00741AEB" w:rsidP="00741AEB">
      <w:pPr>
        <w:spacing w:after="240"/>
        <w:jc w:val="both"/>
        <w:rPr>
          <w:b/>
          <w:u w:val="single"/>
        </w:rPr>
      </w:pPr>
      <w:r w:rsidRPr="006B1DE1">
        <w:rPr>
          <w:b/>
          <w:u w:val="single"/>
        </w:rPr>
        <w:t>Table 4 Contingencies and Earmarked Reserves</w:t>
      </w:r>
    </w:p>
    <w:p w:rsidR="00F27386" w:rsidRDefault="00F27386" w:rsidP="00741AEB">
      <w:pPr>
        <w:spacing w:after="240"/>
        <w:jc w:val="both"/>
        <w:rPr>
          <w:b/>
          <w:u w:val="single"/>
        </w:rPr>
      </w:pPr>
      <w:r w:rsidRPr="00F27386">
        <w:rPr>
          <w:noProof/>
          <w:lang w:eastAsia="en-GB"/>
        </w:rPr>
        <w:drawing>
          <wp:inline distT="0" distB="0" distL="0" distR="0" wp14:anchorId="18D336FD" wp14:editId="79F13C6F">
            <wp:extent cx="5276215" cy="2234965"/>
            <wp:effectExtent l="0" t="0" r="635"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215" cy="2234965"/>
                    </a:xfrm>
                    <a:prstGeom prst="rect">
                      <a:avLst/>
                    </a:prstGeom>
                    <a:noFill/>
                    <a:ln>
                      <a:noFill/>
                    </a:ln>
                  </pic:spPr>
                </pic:pic>
              </a:graphicData>
            </a:graphic>
          </wp:inline>
        </w:drawing>
      </w:r>
    </w:p>
    <w:p w:rsidR="00A925C6" w:rsidRDefault="00A925C6" w:rsidP="00A925C6">
      <w:pPr>
        <w:ind w:left="360" w:hanging="360"/>
        <w:rPr>
          <w:b/>
        </w:rPr>
      </w:pPr>
      <w:r>
        <w:rPr>
          <w:b/>
        </w:rPr>
        <w:t>Other Corporate budgets</w:t>
      </w:r>
    </w:p>
    <w:p w:rsidR="00A925C6" w:rsidRDefault="00A925C6" w:rsidP="00A925C6">
      <w:pPr>
        <w:numPr>
          <w:ilvl w:val="0"/>
          <w:numId w:val="9"/>
        </w:numPr>
        <w:spacing w:after="240"/>
        <w:ind w:hanging="720"/>
      </w:pPr>
      <w:r>
        <w:t xml:space="preserve">There is a net saving of £470k on other corporate budgets. £147k relates to an improved position on interest budgets, £104k </w:t>
      </w:r>
      <w:r w:rsidR="00A10BDE">
        <w:t>new</w:t>
      </w:r>
      <w:r>
        <w:t xml:space="preserve"> burdens funding in relation to search fees, £97k additional Education Services grant, £84k in relation to a write back on the Good Received Invoice Received suspense account and £38k from a number of minor variances on corporate budgets.  </w:t>
      </w:r>
    </w:p>
    <w:p w:rsidR="001A5768" w:rsidRDefault="001A5768" w:rsidP="00741AEB">
      <w:pPr>
        <w:spacing w:after="120"/>
        <w:ind w:right="489"/>
        <w:jc w:val="both"/>
        <w:rPr>
          <w:rFonts w:cs="Arial"/>
          <w:b/>
          <w:iCs/>
        </w:rPr>
      </w:pPr>
    </w:p>
    <w:p w:rsidR="001A5768" w:rsidRDefault="001A5768" w:rsidP="00741AEB">
      <w:pPr>
        <w:spacing w:after="120"/>
        <w:ind w:right="489"/>
        <w:jc w:val="both"/>
        <w:rPr>
          <w:rFonts w:cs="Arial"/>
          <w:b/>
          <w:iCs/>
        </w:rPr>
      </w:pPr>
    </w:p>
    <w:p w:rsidR="00741AEB" w:rsidRPr="006B1DE1" w:rsidRDefault="00741AEB" w:rsidP="00741AEB">
      <w:pPr>
        <w:spacing w:after="120"/>
        <w:ind w:right="489"/>
        <w:jc w:val="both"/>
        <w:rPr>
          <w:rFonts w:cs="Arial"/>
          <w:b/>
          <w:iCs/>
        </w:rPr>
      </w:pPr>
      <w:r w:rsidRPr="006B1DE1">
        <w:rPr>
          <w:rFonts w:cs="Arial"/>
          <w:b/>
          <w:iCs/>
        </w:rPr>
        <w:lastRenderedPageBreak/>
        <w:t>Reserves and Provisions</w:t>
      </w:r>
    </w:p>
    <w:p w:rsidR="00741AEB" w:rsidRPr="006B1DE1" w:rsidRDefault="00741AEB" w:rsidP="00D44E09">
      <w:pPr>
        <w:numPr>
          <w:ilvl w:val="0"/>
          <w:numId w:val="9"/>
        </w:numPr>
        <w:spacing w:after="240"/>
        <w:ind w:hanging="720"/>
        <w:rPr>
          <w:szCs w:val="24"/>
        </w:rPr>
      </w:pPr>
      <w:r w:rsidRPr="006B1DE1">
        <w:t xml:space="preserve">The Council must hold adequate provisions and reserve balances to cover known and anticipated events and in respect of its statutory duties as appropriate. </w:t>
      </w:r>
      <w:r w:rsidRPr="006B1DE1">
        <w:rPr>
          <w:rFonts w:cs="Arial"/>
        </w:rPr>
        <w:t xml:space="preserve">General non earmarked balances stand at £10m.  </w:t>
      </w:r>
      <w:r w:rsidRPr="006B1DE1">
        <w:t xml:space="preserve">All the provisions are reviewed on a quarterly basis.  As at Quarter </w:t>
      </w:r>
      <w:r w:rsidR="00A156F0">
        <w:t>3</w:t>
      </w:r>
      <w:r w:rsidRPr="006B1DE1">
        <w:t xml:space="preserve"> the Council has adequate provisions in respect of Insurance, Litigation and Employment cases.</w:t>
      </w:r>
    </w:p>
    <w:p w:rsidR="00741AEB" w:rsidRPr="006B1DE1" w:rsidRDefault="00741AEB" w:rsidP="00741AEB">
      <w:pPr>
        <w:spacing w:after="120"/>
        <w:ind w:right="489"/>
        <w:jc w:val="both"/>
        <w:rPr>
          <w:rFonts w:cs="Arial"/>
          <w:b/>
          <w:iCs/>
        </w:rPr>
      </w:pPr>
      <w:r w:rsidRPr="006B1DE1">
        <w:rPr>
          <w:rFonts w:cs="Arial"/>
          <w:b/>
          <w:iCs/>
        </w:rPr>
        <w:t>Debt Management</w:t>
      </w:r>
    </w:p>
    <w:p w:rsidR="00741AEB" w:rsidRPr="006B1DE1" w:rsidRDefault="00741AEB" w:rsidP="00D44E09">
      <w:pPr>
        <w:numPr>
          <w:ilvl w:val="0"/>
          <w:numId w:val="9"/>
        </w:numPr>
        <w:spacing w:after="240"/>
        <w:ind w:hanging="720"/>
        <w:rPr>
          <w:rFonts w:cs="Arial"/>
        </w:rPr>
      </w:pPr>
      <w:r w:rsidRPr="006B1DE1">
        <w:rPr>
          <w:rFonts w:cs="Arial"/>
        </w:rPr>
        <w:t>The latest position on Council Tax, Business Rates and Housing Benefits bad debts provisions is included within Appendix 3.</w:t>
      </w:r>
    </w:p>
    <w:p w:rsidR="00741AEB" w:rsidRPr="006B1DE1" w:rsidRDefault="00741AEB" w:rsidP="00741AEB">
      <w:pPr>
        <w:ind w:right="489"/>
        <w:jc w:val="both"/>
        <w:rPr>
          <w:rFonts w:cs="Arial"/>
          <w:b/>
          <w:u w:val="single"/>
        </w:rPr>
      </w:pPr>
      <w:r w:rsidRPr="006B1DE1">
        <w:rPr>
          <w:rFonts w:cs="Arial"/>
          <w:b/>
          <w:u w:val="single"/>
        </w:rPr>
        <w:t>MTFS IMPLEMENTATION TRACKER</w:t>
      </w:r>
    </w:p>
    <w:p w:rsidR="00741AEB" w:rsidRPr="006B1DE1" w:rsidRDefault="00741AEB" w:rsidP="00D44E09">
      <w:pPr>
        <w:numPr>
          <w:ilvl w:val="0"/>
          <w:numId w:val="9"/>
        </w:numPr>
        <w:spacing w:after="240"/>
        <w:ind w:hanging="720"/>
        <w:rPr>
          <w:rFonts w:cs="Arial"/>
        </w:rPr>
      </w:pPr>
      <w:r w:rsidRPr="006B1DE1">
        <w:t xml:space="preserve">The 2015/16 budget includes approved MTFS savings of £18.720m.  The progress on implementation is summarised below in table 5 below and shown in more detail in Appendix 2: </w:t>
      </w:r>
    </w:p>
    <w:p w:rsidR="00741AEB" w:rsidRPr="006B1DE1" w:rsidRDefault="00741AEB" w:rsidP="00741AEB">
      <w:pPr>
        <w:rPr>
          <w:rFonts w:cs="Arial"/>
          <w:b/>
          <w:szCs w:val="24"/>
          <w:u w:val="single"/>
        </w:rPr>
      </w:pPr>
    </w:p>
    <w:p w:rsidR="00741AEB" w:rsidRPr="006B1DE1" w:rsidRDefault="00741AEB" w:rsidP="00741AEB">
      <w:pPr>
        <w:rPr>
          <w:rFonts w:cs="Arial"/>
          <w:b/>
          <w:szCs w:val="24"/>
          <w:u w:val="single"/>
        </w:rPr>
      </w:pPr>
      <w:r w:rsidRPr="006B1DE1">
        <w:rPr>
          <w:rFonts w:cs="Arial"/>
          <w:b/>
          <w:szCs w:val="24"/>
          <w:u w:val="single"/>
        </w:rPr>
        <w:t xml:space="preserve">Table 5 </w:t>
      </w:r>
      <w:proofErr w:type="gramStart"/>
      <w:r w:rsidRPr="006B1DE1">
        <w:rPr>
          <w:rFonts w:cs="Arial"/>
          <w:b/>
          <w:szCs w:val="24"/>
          <w:u w:val="single"/>
        </w:rPr>
        <w:t>RAG</w:t>
      </w:r>
      <w:proofErr w:type="gramEnd"/>
      <w:r w:rsidRPr="006B1DE1">
        <w:rPr>
          <w:rFonts w:cs="Arial"/>
          <w:b/>
          <w:szCs w:val="24"/>
          <w:u w:val="single"/>
        </w:rPr>
        <w:t xml:space="preserve"> Rating of 2015/16 Savings</w:t>
      </w:r>
    </w:p>
    <w:tbl>
      <w:tblPr>
        <w:tblW w:w="7000" w:type="dxa"/>
        <w:tblInd w:w="93" w:type="dxa"/>
        <w:tblLook w:val="04A0" w:firstRow="1" w:lastRow="0" w:firstColumn="1" w:lastColumn="0" w:noHBand="0" w:noVBand="1"/>
      </w:tblPr>
      <w:tblGrid>
        <w:gridCol w:w="692"/>
        <w:gridCol w:w="981"/>
        <w:gridCol w:w="1026"/>
        <w:gridCol w:w="784"/>
        <w:gridCol w:w="1177"/>
        <w:gridCol w:w="866"/>
        <w:gridCol w:w="1124"/>
        <w:gridCol w:w="765"/>
      </w:tblGrid>
      <w:tr w:rsidR="008F1D65" w:rsidRPr="008F1D65" w:rsidTr="008F1D65">
        <w:trPr>
          <w:trHeight w:val="450"/>
        </w:trPr>
        <w:tc>
          <w:tcPr>
            <w:tcW w:w="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D65" w:rsidRPr="008F1D65" w:rsidRDefault="008F1D65" w:rsidP="008F1D65">
            <w:pPr>
              <w:rPr>
                <w:rFonts w:cs="Arial"/>
                <w:sz w:val="16"/>
                <w:szCs w:val="16"/>
                <w:lang w:eastAsia="en-GB"/>
              </w:rPr>
            </w:pPr>
            <w:r w:rsidRPr="008F1D65">
              <w:rPr>
                <w:rFonts w:cs="Arial"/>
                <w:sz w:val="16"/>
                <w:szCs w:val="16"/>
                <w:lang w:eastAsia="en-GB"/>
              </w:rPr>
              <w:t> </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Resources</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Community</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People</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Regeneration</w:t>
            </w:r>
          </w:p>
        </w:tc>
        <w:tc>
          <w:tcPr>
            <w:tcW w:w="803" w:type="dxa"/>
            <w:tcBorders>
              <w:top w:val="single" w:sz="4" w:space="0" w:color="auto"/>
              <w:left w:val="nil"/>
              <w:bottom w:val="single" w:sz="4" w:space="0" w:color="auto"/>
              <w:right w:val="single" w:sz="4" w:space="0" w:color="auto"/>
            </w:tcBorders>
            <w:shd w:val="clear" w:color="auto" w:fill="auto"/>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Business Support</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Pan Organisation</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Total</w:t>
            </w:r>
          </w:p>
        </w:tc>
      </w:tr>
      <w:tr w:rsidR="008F1D65" w:rsidRPr="008F1D65" w:rsidTr="008F1D65">
        <w:trPr>
          <w:trHeight w:val="2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F1D65" w:rsidRPr="008F1D65" w:rsidRDefault="008F1D65" w:rsidP="008F1D65">
            <w:pPr>
              <w:rPr>
                <w:rFonts w:cs="Arial"/>
                <w:sz w:val="16"/>
                <w:szCs w:val="16"/>
                <w:lang w:eastAsia="en-GB"/>
              </w:rPr>
            </w:pPr>
            <w:r w:rsidRPr="008F1D65">
              <w:rPr>
                <w:rFonts w:cs="Arial"/>
                <w:sz w:val="16"/>
                <w:szCs w:val="16"/>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£000</w:t>
            </w:r>
          </w:p>
        </w:tc>
        <w:tc>
          <w:tcPr>
            <w:tcW w:w="963"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£000</w:t>
            </w:r>
          </w:p>
        </w:tc>
        <w:tc>
          <w:tcPr>
            <w:tcW w:w="784"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£000</w:t>
            </w:r>
          </w:p>
        </w:tc>
        <w:tc>
          <w:tcPr>
            <w:tcW w:w="991"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£000</w:t>
            </w:r>
          </w:p>
        </w:tc>
        <w:tc>
          <w:tcPr>
            <w:tcW w:w="803"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£000</w:t>
            </w:r>
          </w:p>
        </w:tc>
        <w:tc>
          <w:tcPr>
            <w:tcW w:w="1045"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£000</w:t>
            </w:r>
          </w:p>
        </w:tc>
        <w:tc>
          <w:tcPr>
            <w:tcW w:w="765"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center"/>
              <w:rPr>
                <w:rFonts w:cs="Arial"/>
                <w:sz w:val="16"/>
                <w:szCs w:val="16"/>
                <w:lang w:eastAsia="en-GB"/>
              </w:rPr>
            </w:pPr>
            <w:r w:rsidRPr="008F1D65">
              <w:rPr>
                <w:rFonts w:cs="Arial"/>
                <w:sz w:val="16"/>
                <w:szCs w:val="16"/>
                <w:lang w:eastAsia="en-GB"/>
              </w:rPr>
              <w:t>£000</w:t>
            </w:r>
          </w:p>
        </w:tc>
      </w:tr>
      <w:tr w:rsidR="008F1D65" w:rsidRPr="008F1D65" w:rsidTr="008F1D65">
        <w:trPr>
          <w:trHeight w:val="255"/>
        </w:trPr>
        <w:tc>
          <w:tcPr>
            <w:tcW w:w="692" w:type="dxa"/>
            <w:tcBorders>
              <w:top w:val="nil"/>
              <w:left w:val="single" w:sz="4" w:space="0" w:color="auto"/>
              <w:bottom w:val="single" w:sz="4" w:space="0" w:color="auto"/>
              <w:right w:val="single" w:sz="4" w:space="0" w:color="auto"/>
            </w:tcBorders>
            <w:shd w:val="clear" w:color="000000" w:fill="FF99CC"/>
            <w:noWrap/>
            <w:vAlign w:val="bottom"/>
            <w:hideMark/>
          </w:tcPr>
          <w:p w:rsidR="008F1D65" w:rsidRPr="008F1D65" w:rsidRDefault="008F1D65" w:rsidP="008F1D65">
            <w:pPr>
              <w:rPr>
                <w:rFonts w:cs="Arial"/>
                <w:sz w:val="16"/>
                <w:szCs w:val="16"/>
                <w:lang w:eastAsia="en-GB"/>
              </w:rPr>
            </w:pPr>
            <w:r w:rsidRPr="008F1D65">
              <w:rPr>
                <w:rFonts w:cs="Arial"/>
                <w:sz w:val="16"/>
                <w:szCs w:val="16"/>
                <w:lang w:eastAsia="en-GB"/>
              </w:rPr>
              <w:t>Red</w:t>
            </w:r>
          </w:p>
        </w:tc>
        <w:tc>
          <w:tcPr>
            <w:tcW w:w="957" w:type="dxa"/>
            <w:tcBorders>
              <w:top w:val="nil"/>
              <w:left w:val="nil"/>
              <w:bottom w:val="single" w:sz="4" w:space="0" w:color="auto"/>
              <w:right w:val="single" w:sz="4" w:space="0" w:color="auto"/>
            </w:tcBorders>
            <w:shd w:val="clear" w:color="000000" w:fill="FF99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50</w:t>
            </w:r>
          </w:p>
        </w:tc>
        <w:tc>
          <w:tcPr>
            <w:tcW w:w="963" w:type="dxa"/>
            <w:tcBorders>
              <w:top w:val="nil"/>
              <w:left w:val="nil"/>
              <w:bottom w:val="single" w:sz="4" w:space="0" w:color="auto"/>
              <w:right w:val="single" w:sz="4" w:space="0" w:color="auto"/>
            </w:tcBorders>
            <w:shd w:val="clear" w:color="000000" w:fill="FF99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485</w:t>
            </w:r>
          </w:p>
        </w:tc>
        <w:tc>
          <w:tcPr>
            <w:tcW w:w="784" w:type="dxa"/>
            <w:tcBorders>
              <w:top w:val="nil"/>
              <w:left w:val="nil"/>
              <w:bottom w:val="single" w:sz="4" w:space="0" w:color="auto"/>
              <w:right w:val="single" w:sz="4" w:space="0" w:color="auto"/>
            </w:tcBorders>
            <w:shd w:val="clear" w:color="000000" w:fill="FF99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991" w:type="dxa"/>
            <w:tcBorders>
              <w:top w:val="nil"/>
              <w:left w:val="nil"/>
              <w:bottom w:val="single" w:sz="4" w:space="0" w:color="auto"/>
              <w:right w:val="single" w:sz="4" w:space="0" w:color="auto"/>
            </w:tcBorders>
            <w:shd w:val="clear" w:color="000000" w:fill="FF99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803" w:type="dxa"/>
            <w:tcBorders>
              <w:top w:val="nil"/>
              <w:left w:val="nil"/>
              <w:bottom w:val="single" w:sz="4" w:space="0" w:color="auto"/>
              <w:right w:val="single" w:sz="4" w:space="0" w:color="auto"/>
            </w:tcBorders>
            <w:shd w:val="clear" w:color="000000" w:fill="FF99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1045" w:type="dxa"/>
            <w:tcBorders>
              <w:top w:val="nil"/>
              <w:left w:val="nil"/>
              <w:bottom w:val="single" w:sz="4" w:space="0" w:color="auto"/>
              <w:right w:val="single" w:sz="4" w:space="0" w:color="auto"/>
            </w:tcBorders>
            <w:shd w:val="clear" w:color="000000" w:fill="FF99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765" w:type="dxa"/>
            <w:tcBorders>
              <w:top w:val="nil"/>
              <w:left w:val="nil"/>
              <w:bottom w:val="single" w:sz="4" w:space="0" w:color="auto"/>
              <w:right w:val="single" w:sz="4" w:space="0" w:color="auto"/>
            </w:tcBorders>
            <w:shd w:val="clear" w:color="000000" w:fill="FF99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535</w:t>
            </w:r>
          </w:p>
        </w:tc>
      </w:tr>
      <w:tr w:rsidR="008F1D65" w:rsidRPr="008F1D65" w:rsidTr="008F1D65">
        <w:trPr>
          <w:trHeight w:val="255"/>
        </w:trPr>
        <w:tc>
          <w:tcPr>
            <w:tcW w:w="692" w:type="dxa"/>
            <w:tcBorders>
              <w:top w:val="nil"/>
              <w:left w:val="single" w:sz="4" w:space="0" w:color="auto"/>
              <w:bottom w:val="single" w:sz="4" w:space="0" w:color="auto"/>
              <w:right w:val="single" w:sz="4" w:space="0" w:color="auto"/>
            </w:tcBorders>
            <w:shd w:val="clear" w:color="000000" w:fill="FFCC99"/>
            <w:noWrap/>
            <w:vAlign w:val="bottom"/>
            <w:hideMark/>
          </w:tcPr>
          <w:p w:rsidR="008F1D65" w:rsidRPr="008F1D65" w:rsidRDefault="008F1D65" w:rsidP="008F1D65">
            <w:pPr>
              <w:rPr>
                <w:rFonts w:cs="Arial"/>
                <w:sz w:val="16"/>
                <w:szCs w:val="16"/>
                <w:lang w:eastAsia="en-GB"/>
              </w:rPr>
            </w:pPr>
            <w:r w:rsidRPr="008F1D65">
              <w:rPr>
                <w:rFonts w:cs="Arial"/>
                <w:sz w:val="16"/>
                <w:szCs w:val="16"/>
                <w:lang w:eastAsia="en-GB"/>
              </w:rPr>
              <w:t>Amber</w:t>
            </w:r>
          </w:p>
        </w:tc>
        <w:tc>
          <w:tcPr>
            <w:tcW w:w="957" w:type="dxa"/>
            <w:tcBorders>
              <w:top w:val="nil"/>
              <w:left w:val="nil"/>
              <w:bottom w:val="single" w:sz="4" w:space="0" w:color="auto"/>
              <w:right w:val="single" w:sz="4" w:space="0" w:color="auto"/>
            </w:tcBorders>
            <w:shd w:val="clear" w:color="000000" w:fill="FFCC99"/>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166</w:t>
            </w:r>
          </w:p>
        </w:tc>
        <w:tc>
          <w:tcPr>
            <w:tcW w:w="963" w:type="dxa"/>
            <w:tcBorders>
              <w:top w:val="nil"/>
              <w:left w:val="nil"/>
              <w:bottom w:val="single" w:sz="4" w:space="0" w:color="auto"/>
              <w:right w:val="single" w:sz="4" w:space="0" w:color="auto"/>
            </w:tcBorders>
            <w:shd w:val="clear" w:color="000000" w:fill="FFCC99"/>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2,243</w:t>
            </w:r>
          </w:p>
        </w:tc>
        <w:tc>
          <w:tcPr>
            <w:tcW w:w="784" w:type="dxa"/>
            <w:tcBorders>
              <w:top w:val="nil"/>
              <w:left w:val="nil"/>
              <w:bottom w:val="single" w:sz="4" w:space="0" w:color="auto"/>
              <w:right w:val="single" w:sz="4" w:space="0" w:color="auto"/>
            </w:tcBorders>
            <w:shd w:val="clear" w:color="000000" w:fill="FFCC99"/>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2,291</w:t>
            </w:r>
          </w:p>
        </w:tc>
        <w:tc>
          <w:tcPr>
            <w:tcW w:w="991" w:type="dxa"/>
            <w:tcBorders>
              <w:top w:val="nil"/>
              <w:left w:val="nil"/>
              <w:bottom w:val="single" w:sz="4" w:space="0" w:color="auto"/>
              <w:right w:val="single" w:sz="4" w:space="0" w:color="auto"/>
            </w:tcBorders>
            <w:shd w:val="clear" w:color="000000" w:fill="FFCC99"/>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803" w:type="dxa"/>
            <w:tcBorders>
              <w:top w:val="nil"/>
              <w:left w:val="nil"/>
              <w:bottom w:val="single" w:sz="4" w:space="0" w:color="auto"/>
              <w:right w:val="single" w:sz="4" w:space="0" w:color="auto"/>
            </w:tcBorders>
            <w:shd w:val="clear" w:color="000000" w:fill="FFCC99"/>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820</w:t>
            </w:r>
          </w:p>
        </w:tc>
        <w:tc>
          <w:tcPr>
            <w:tcW w:w="1045" w:type="dxa"/>
            <w:tcBorders>
              <w:top w:val="nil"/>
              <w:left w:val="nil"/>
              <w:bottom w:val="single" w:sz="4" w:space="0" w:color="auto"/>
              <w:right w:val="single" w:sz="4" w:space="0" w:color="auto"/>
            </w:tcBorders>
            <w:shd w:val="clear" w:color="000000" w:fill="FFCC99"/>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765" w:type="dxa"/>
            <w:tcBorders>
              <w:top w:val="nil"/>
              <w:left w:val="nil"/>
              <w:bottom w:val="single" w:sz="4" w:space="0" w:color="auto"/>
              <w:right w:val="single" w:sz="4" w:space="0" w:color="auto"/>
            </w:tcBorders>
            <w:shd w:val="clear" w:color="000000" w:fill="FFCC99"/>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5,520</w:t>
            </w:r>
          </w:p>
        </w:tc>
      </w:tr>
      <w:tr w:rsidR="008F1D65" w:rsidRPr="008F1D65" w:rsidTr="008F1D65">
        <w:trPr>
          <w:trHeight w:val="255"/>
        </w:trPr>
        <w:tc>
          <w:tcPr>
            <w:tcW w:w="692" w:type="dxa"/>
            <w:tcBorders>
              <w:top w:val="nil"/>
              <w:left w:val="single" w:sz="4" w:space="0" w:color="auto"/>
              <w:bottom w:val="single" w:sz="4" w:space="0" w:color="auto"/>
              <w:right w:val="single" w:sz="4" w:space="0" w:color="auto"/>
            </w:tcBorders>
            <w:shd w:val="clear" w:color="000000" w:fill="CCFFCC"/>
            <w:noWrap/>
            <w:vAlign w:val="bottom"/>
            <w:hideMark/>
          </w:tcPr>
          <w:p w:rsidR="008F1D65" w:rsidRPr="008F1D65" w:rsidRDefault="008F1D65" w:rsidP="008F1D65">
            <w:pPr>
              <w:rPr>
                <w:rFonts w:cs="Arial"/>
                <w:sz w:val="16"/>
                <w:szCs w:val="16"/>
                <w:lang w:eastAsia="en-GB"/>
              </w:rPr>
            </w:pPr>
            <w:r w:rsidRPr="008F1D65">
              <w:rPr>
                <w:rFonts w:cs="Arial"/>
                <w:sz w:val="16"/>
                <w:szCs w:val="16"/>
                <w:lang w:eastAsia="en-GB"/>
              </w:rPr>
              <w:t>Green</w:t>
            </w:r>
          </w:p>
        </w:tc>
        <w:tc>
          <w:tcPr>
            <w:tcW w:w="957" w:type="dxa"/>
            <w:tcBorders>
              <w:top w:val="nil"/>
              <w:left w:val="nil"/>
              <w:bottom w:val="single" w:sz="4" w:space="0" w:color="auto"/>
              <w:right w:val="single" w:sz="4" w:space="0" w:color="auto"/>
            </w:tcBorders>
            <w:shd w:val="clear" w:color="000000" w:fill="CCFF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1,395</w:t>
            </w:r>
          </w:p>
        </w:tc>
        <w:tc>
          <w:tcPr>
            <w:tcW w:w="963" w:type="dxa"/>
            <w:tcBorders>
              <w:top w:val="nil"/>
              <w:left w:val="nil"/>
              <w:bottom w:val="single" w:sz="4" w:space="0" w:color="auto"/>
              <w:right w:val="single" w:sz="4" w:space="0" w:color="auto"/>
            </w:tcBorders>
            <w:shd w:val="clear" w:color="000000" w:fill="CCFF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779</w:t>
            </w:r>
          </w:p>
        </w:tc>
        <w:tc>
          <w:tcPr>
            <w:tcW w:w="784" w:type="dxa"/>
            <w:tcBorders>
              <w:top w:val="nil"/>
              <w:left w:val="nil"/>
              <w:bottom w:val="single" w:sz="4" w:space="0" w:color="auto"/>
              <w:right w:val="single" w:sz="4" w:space="0" w:color="auto"/>
            </w:tcBorders>
            <w:shd w:val="clear" w:color="000000" w:fill="CCFF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3,047</w:t>
            </w:r>
          </w:p>
        </w:tc>
        <w:tc>
          <w:tcPr>
            <w:tcW w:w="991" w:type="dxa"/>
            <w:tcBorders>
              <w:top w:val="nil"/>
              <w:left w:val="nil"/>
              <w:bottom w:val="single" w:sz="4" w:space="0" w:color="auto"/>
              <w:right w:val="single" w:sz="4" w:space="0" w:color="auto"/>
            </w:tcBorders>
            <w:shd w:val="clear" w:color="000000" w:fill="CCFF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50</w:t>
            </w:r>
          </w:p>
        </w:tc>
        <w:tc>
          <w:tcPr>
            <w:tcW w:w="803" w:type="dxa"/>
            <w:tcBorders>
              <w:top w:val="nil"/>
              <w:left w:val="nil"/>
              <w:bottom w:val="single" w:sz="4" w:space="0" w:color="auto"/>
              <w:right w:val="single" w:sz="4" w:space="0" w:color="auto"/>
            </w:tcBorders>
            <w:shd w:val="clear" w:color="000000" w:fill="CCFF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1045" w:type="dxa"/>
            <w:tcBorders>
              <w:top w:val="nil"/>
              <w:left w:val="nil"/>
              <w:bottom w:val="single" w:sz="4" w:space="0" w:color="auto"/>
              <w:right w:val="single" w:sz="4" w:space="0" w:color="auto"/>
            </w:tcBorders>
            <w:shd w:val="clear" w:color="000000" w:fill="CCFF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765" w:type="dxa"/>
            <w:tcBorders>
              <w:top w:val="nil"/>
              <w:left w:val="nil"/>
              <w:bottom w:val="single" w:sz="4" w:space="0" w:color="auto"/>
              <w:right w:val="single" w:sz="4" w:space="0" w:color="auto"/>
            </w:tcBorders>
            <w:shd w:val="clear" w:color="000000" w:fill="CCFFCC"/>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5,271</w:t>
            </w:r>
          </w:p>
        </w:tc>
      </w:tr>
      <w:tr w:rsidR="008F1D65" w:rsidRPr="008F1D65" w:rsidTr="008F1D65">
        <w:trPr>
          <w:trHeight w:val="255"/>
        </w:trPr>
        <w:tc>
          <w:tcPr>
            <w:tcW w:w="692" w:type="dxa"/>
            <w:tcBorders>
              <w:top w:val="nil"/>
              <w:left w:val="single" w:sz="4" w:space="0" w:color="auto"/>
              <w:bottom w:val="single" w:sz="4" w:space="0" w:color="auto"/>
              <w:right w:val="single" w:sz="4" w:space="0" w:color="auto"/>
            </w:tcBorders>
            <w:shd w:val="clear" w:color="000000" w:fill="95B3D7"/>
            <w:noWrap/>
            <w:vAlign w:val="bottom"/>
            <w:hideMark/>
          </w:tcPr>
          <w:p w:rsidR="008F1D65" w:rsidRPr="008F1D65" w:rsidRDefault="008F1D65" w:rsidP="008F1D65">
            <w:pPr>
              <w:rPr>
                <w:rFonts w:cs="Arial"/>
                <w:sz w:val="16"/>
                <w:szCs w:val="16"/>
                <w:lang w:eastAsia="en-GB"/>
              </w:rPr>
            </w:pPr>
            <w:r w:rsidRPr="008F1D65">
              <w:rPr>
                <w:rFonts w:cs="Arial"/>
                <w:sz w:val="16"/>
                <w:szCs w:val="16"/>
                <w:lang w:eastAsia="en-GB"/>
              </w:rPr>
              <w:t>Blue</w:t>
            </w:r>
          </w:p>
        </w:tc>
        <w:tc>
          <w:tcPr>
            <w:tcW w:w="957" w:type="dxa"/>
            <w:tcBorders>
              <w:top w:val="nil"/>
              <w:left w:val="nil"/>
              <w:bottom w:val="single" w:sz="4" w:space="0" w:color="auto"/>
              <w:right w:val="single" w:sz="4" w:space="0" w:color="auto"/>
            </w:tcBorders>
            <w:shd w:val="clear" w:color="000000" w:fill="95B3D7"/>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2,582</w:t>
            </w:r>
          </w:p>
        </w:tc>
        <w:tc>
          <w:tcPr>
            <w:tcW w:w="963" w:type="dxa"/>
            <w:tcBorders>
              <w:top w:val="nil"/>
              <w:left w:val="nil"/>
              <w:bottom w:val="single" w:sz="4" w:space="0" w:color="auto"/>
              <w:right w:val="single" w:sz="4" w:space="0" w:color="auto"/>
            </w:tcBorders>
            <w:shd w:val="clear" w:color="000000" w:fill="95B3D7"/>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2,214</w:t>
            </w:r>
          </w:p>
        </w:tc>
        <w:tc>
          <w:tcPr>
            <w:tcW w:w="784" w:type="dxa"/>
            <w:tcBorders>
              <w:top w:val="nil"/>
              <w:left w:val="nil"/>
              <w:bottom w:val="single" w:sz="4" w:space="0" w:color="auto"/>
              <w:right w:val="single" w:sz="4" w:space="0" w:color="auto"/>
            </w:tcBorders>
            <w:shd w:val="clear" w:color="000000" w:fill="95B3D7"/>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1,099</w:t>
            </w:r>
          </w:p>
        </w:tc>
        <w:tc>
          <w:tcPr>
            <w:tcW w:w="991" w:type="dxa"/>
            <w:tcBorders>
              <w:top w:val="nil"/>
              <w:left w:val="nil"/>
              <w:bottom w:val="single" w:sz="4" w:space="0" w:color="auto"/>
              <w:right w:val="single" w:sz="4" w:space="0" w:color="auto"/>
            </w:tcBorders>
            <w:shd w:val="clear" w:color="000000" w:fill="95B3D7"/>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803" w:type="dxa"/>
            <w:tcBorders>
              <w:top w:val="nil"/>
              <w:left w:val="nil"/>
              <w:bottom w:val="single" w:sz="4" w:space="0" w:color="auto"/>
              <w:right w:val="single" w:sz="4" w:space="0" w:color="auto"/>
            </w:tcBorders>
            <w:shd w:val="clear" w:color="000000" w:fill="95B3D7"/>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0</w:t>
            </w:r>
          </w:p>
        </w:tc>
        <w:tc>
          <w:tcPr>
            <w:tcW w:w="1045" w:type="dxa"/>
            <w:tcBorders>
              <w:top w:val="nil"/>
              <w:left w:val="nil"/>
              <w:bottom w:val="single" w:sz="4" w:space="0" w:color="auto"/>
              <w:right w:val="single" w:sz="4" w:space="0" w:color="auto"/>
            </w:tcBorders>
            <w:shd w:val="clear" w:color="000000" w:fill="95B3D7"/>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1,500</w:t>
            </w:r>
          </w:p>
        </w:tc>
        <w:tc>
          <w:tcPr>
            <w:tcW w:w="765" w:type="dxa"/>
            <w:tcBorders>
              <w:top w:val="nil"/>
              <w:left w:val="nil"/>
              <w:bottom w:val="single" w:sz="4" w:space="0" w:color="auto"/>
              <w:right w:val="single" w:sz="4" w:space="0" w:color="auto"/>
            </w:tcBorders>
            <w:shd w:val="clear" w:color="000000" w:fill="95B3D7"/>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7,394</w:t>
            </w:r>
          </w:p>
        </w:tc>
      </w:tr>
      <w:tr w:rsidR="008F1D65" w:rsidRPr="008F1D65" w:rsidTr="008F1D65">
        <w:trPr>
          <w:trHeight w:val="2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F1D65" w:rsidRPr="008F1D65" w:rsidRDefault="008F1D65" w:rsidP="008F1D65">
            <w:pPr>
              <w:rPr>
                <w:rFonts w:cs="Arial"/>
                <w:sz w:val="16"/>
                <w:szCs w:val="16"/>
                <w:lang w:eastAsia="en-GB"/>
              </w:rPr>
            </w:pPr>
            <w:r w:rsidRPr="008F1D65">
              <w:rPr>
                <w:rFonts w:cs="Arial"/>
                <w:sz w:val="16"/>
                <w:szCs w:val="16"/>
                <w:lang w:eastAsia="en-GB"/>
              </w:rPr>
              <w:t>Total</w:t>
            </w:r>
          </w:p>
        </w:tc>
        <w:tc>
          <w:tcPr>
            <w:tcW w:w="957"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4,193</w:t>
            </w:r>
          </w:p>
        </w:tc>
        <w:tc>
          <w:tcPr>
            <w:tcW w:w="963"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5,721</w:t>
            </w:r>
          </w:p>
        </w:tc>
        <w:tc>
          <w:tcPr>
            <w:tcW w:w="784"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6,437</w:t>
            </w:r>
          </w:p>
        </w:tc>
        <w:tc>
          <w:tcPr>
            <w:tcW w:w="991"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50</w:t>
            </w:r>
          </w:p>
        </w:tc>
        <w:tc>
          <w:tcPr>
            <w:tcW w:w="803"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820</w:t>
            </w:r>
          </w:p>
        </w:tc>
        <w:tc>
          <w:tcPr>
            <w:tcW w:w="1045"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1,500</w:t>
            </w:r>
          </w:p>
        </w:tc>
        <w:tc>
          <w:tcPr>
            <w:tcW w:w="765" w:type="dxa"/>
            <w:tcBorders>
              <w:top w:val="nil"/>
              <w:left w:val="nil"/>
              <w:bottom w:val="single" w:sz="4" w:space="0" w:color="auto"/>
              <w:right w:val="single" w:sz="4" w:space="0" w:color="auto"/>
            </w:tcBorders>
            <w:shd w:val="clear" w:color="auto" w:fill="auto"/>
            <w:noWrap/>
            <w:vAlign w:val="bottom"/>
            <w:hideMark/>
          </w:tcPr>
          <w:p w:rsidR="008F1D65" w:rsidRPr="008F1D65" w:rsidRDefault="008F1D65" w:rsidP="008F1D65">
            <w:pPr>
              <w:jc w:val="right"/>
              <w:rPr>
                <w:rFonts w:cs="Arial"/>
                <w:sz w:val="16"/>
                <w:szCs w:val="16"/>
                <w:lang w:eastAsia="en-GB"/>
              </w:rPr>
            </w:pPr>
            <w:r w:rsidRPr="008F1D65">
              <w:rPr>
                <w:rFonts w:cs="Arial"/>
                <w:sz w:val="16"/>
                <w:szCs w:val="16"/>
                <w:lang w:eastAsia="en-GB"/>
              </w:rPr>
              <w:t>18,720</w:t>
            </w:r>
          </w:p>
        </w:tc>
      </w:tr>
    </w:tbl>
    <w:p w:rsidR="002C672F" w:rsidRPr="002C672F" w:rsidRDefault="002C672F" w:rsidP="002C672F"/>
    <w:p w:rsidR="00741AEB" w:rsidRPr="00F43333" w:rsidRDefault="00741AEB" w:rsidP="002E4BE3">
      <w:pPr>
        <w:rPr>
          <w:b/>
          <w:u w:val="single"/>
        </w:rPr>
      </w:pPr>
      <w:r w:rsidRPr="00F43333">
        <w:rPr>
          <w:b/>
          <w:u w:val="single"/>
        </w:rPr>
        <w:t>CAPITAL PROGRAMME</w:t>
      </w:r>
    </w:p>
    <w:p w:rsidR="00741AEB" w:rsidRPr="006B1DE1" w:rsidRDefault="00741AEB" w:rsidP="00741AEB">
      <w:pPr>
        <w:keepNext/>
        <w:outlineLvl w:val="1"/>
        <w:rPr>
          <w:rFonts w:cs="Arial"/>
          <w:b/>
          <w:bCs/>
          <w:kern w:val="32"/>
          <w:szCs w:val="32"/>
          <w:u w:val="single"/>
        </w:rPr>
      </w:pPr>
      <w:bookmarkStart w:id="4" w:name="_Toc372706236"/>
    </w:p>
    <w:p w:rsidR="00741AEB" w:rsidRPr="006B1DE1" w:rsidRDefault="00741AEB" w:rsidP="00741AEB">
      <w:pPr>
        <w:spacing w:after="240"/>
        <w:rPr>
          <w:b/>
          <w:u w:val="single"/>
        </w:rPr>
      </w:pPr>
      <w:r w:rsidRPr="006B1DE1">
        <w:rPr>
          <w:rFonts w:cs="Arial"/>
          <w:b/>
          <w:u w:val="single"/>
        </w:rPr>
        <w:t xml:space="preserve">Capital Programme Forecast at Quarter </w:t>
      </w:r>
      <w:r w:rsidR="00E13D48">
        <w:rPr>
          <w:rFonts w:cs="Arial"/>
          <w:b/>
          <w:u w:val="single"/>
        </w:rPr>
        <w:t>3</w:t>
      </w:r>
    </w:p>
    <w:p w:rsidR="00741AEB" w:rsidRPr="006B1DE1" w:rsidRDefault="00741AEB" w:rsidP="00D44E09">
      <w:pPr>
        <w:numPr>
          <w:ilvl w:val="0"/>
          <w:numId w:val="9"/>
        </w:numPr>
        <w:spacing w:after="240"/>
        <w:ind w:hanging="720"/>
      </w:pPr>
      <w:r w:rsidRPr="006B1DE1">
        <w:t xml:space="preserve">The 2015/16 capital programme agreed by Council in February 2015 totalled £88.911m.  Adjusted for slippage at the 2014/15 outturn </w:t>
      </w:r>
      <w:r w:rsidR="00D57782">
        <w:t xml:space="preserve">and other approved addition to </w:t>
      </w:r>
      <w:r w:rsidRPr="006B1DE1">
        <w:t>the programme now totals £1</w:t>
      </w:r>
      <w:r w:rsidR="00A00952">
        <w:t>57.</w:t>
      </w:r>
      <w:r w:rsidR="0036036E">
        <w:t>933</w:t>
      </w:r>
      <w:r w:rsidR="00A00952">
        <w:t xml:space="preserve">m at Quarter </w:t>
      </w:r>
      <w:r w:rsidR="0036036E">
        <w:t>3</w:t>
      </w:r>
      <w:r w:rsidRPr="006B1DE1">
        <w:t xml:space="preserve">. </w:t>
      </w:r>
    </w:p>
    <w:p w:rsidR="00660E65" w:rsidRDefault="00660E65" w:rsidP="00D44E09">
      <w:pPr>
        <w:numPr>
          <w:ilvl w:val="0"/>
          <w:numId w:val="9"/>
        </w:numPr>
        <w:spacing w:after="240"/>
        <w:ind w:hanging="720"/>
      </w:pPr>
      <w:r>
        <w:t xml:space="preserve">The forecast </w:t>
      </w:r>
      <w:r w:rsidR="0036036E">
        <w:t xml:space="preserve">spend </w:t>
      </w:r>
      <w:r>
        <w:t xml:space="preserve">at Quarter </w:t>
      </w:r>
      <w:r w:rsidR="0036036E">
        <w:t>3</w:t>
      </w:r>
      <w:r>
        <w:t xml:space="preserve"> is £11</w:t>
      </w:r>
      <w:r w:rsidR="0028316A">
        <w:t>6.967</w:t>
      </w:r>
      <w:r>
        <w:t>m, 7</w:t>
      </w:r>
      <w:r w:rsidR="0028316A">
        <w:t>4</w:t>
      </w:r>
      <w:r>
        <w:t xml:space="preserve">% of the total capital programme, a reduction of </w:t>
      </w:r>
      <w:r w:rsidR="0028316A">
        <w:t>2</w:t>
      </w:r>
      <w:r>
        <w:t xml:space="preserve">% when compared with Quarter </w:t>
      </w:r>
      <w:r w:rsidR="0028316A">
        <w:t>2</w:t>
      </w:r>
      <w:r>
        <w:t xml:space="preserve">. </w:t>
      </w:r>
      <w:r w:rsidRPr="006B1DE1">
        <w:t xml:space="preserve"> </w:t>
      </w:r>
    </w:p>
    <w:p w:rsidR="00741AEB" w:rsidRPr="006B1DE1" w:rsidRDefault="00741AEB" w:rsidP="00D44E09">
      <w:pPr>
        <w:numPr>
          <w:ilvl w:val="0"/>
          <w:numId w:val="9"/>
        </w:numPr>
        <w:spacing w:after="240"/>
        <w:ind w:hanging="720"/>
      </w:pPr>
      <w:r w:rsidRPr="006B1DE1">
        <w:t xml:space="preserve">The forecast variance on General </w:t>
      </w:r>
      <w:r w:rsidR="0041077E">
        <w:t>F</w:t>
      </w:r>
      <w:r w:rsidR="00D57782">
        <w:t xml:space="preserve">und at Quarter </w:t>
      </w:r>
      <w:r w:rsidR="0028316A">
        <w:t>3</w:t>
      </w:r>
      <w:r w:rsidR="00D57782">
        <w:t xml:space="preserve"> </w:t>
      </w:r>
      <w:r w:rsidRPr="006B1DE1">
        <w:t xml:space="preserve">is </w:t>
      </w:r>
      <w:proofErr w:type="gramStart"/>
      <w:r w:rsidR="00CE2818">
        <w:t>an underspend</w:t>
      </w:r>
      <w:proofErr w:type="gramEnd"/>
      <w:r w:rsidR="00CE2818">
        <w:t xml:space="preserve"> of </w:t>
      </w:r>
      <w:r w:rsidRPr="006B1DE1">
        <w:t>£</w:t>
      </w:r>
      <w:r w:rsidR="00A00952">
        <w:t>2</w:t>
      </w:r>
      <w:r w:rsidR="0028316A">
        <w:t>8.992</w:t>
      </w:r>
      <w:r w:rsidR="00660E65">
        <w:t>m</w:t>
      </w:r>
      <w:r w:rsidR="00CE2818">
        <w:t xml:space="preserve"> (2</w:t>
      </w:r>
      <w:r w:rsidR="0028316A">
        <w:t>3</w:t>
      </w:r>
      <w:r w:rsidR="00CE2818">
        <w:t>%).</w:t>
      </w:r>
      <w:r w:rsidR="00660E65">
        <w:t xml:space="preserve"> </w:t>
      </w:r>
      <w:r w:rsidR="00455115">
        <w:t xml:space="preserve">The </w:t>
      </w:r>
      <w:r w:rsidR="00660E65">
        <w:t xml:space="preserve"> forecast </w:t>
      </w:r>
      <w:r w:rsidR="00C736CB">
        <w:t>underspend</w:t>
      </w:r>
      <w:r w:rsidR="00660E65">
        <w:t xml:space="preserve"> </w:t>
      </w:r>
      <w:r w:rsidRPr="006B1DE1">
        <w:t xml:space="preserve"> compris</w:t>
      </w:r>
      <w:r w:rsidR="00C736CB">
        <w:t>es</w:t>
      </w:r>
      <w:r w:rsidRPr="006B1DE1">
        <w:t xml:space="preserve"> of slippage of £</w:t>
      </w:r>
      <w:r w:rsidR="00D57782">
        <w:t>2</w:t>
      </w:r>
      <w:r w:rsidR="0028316A">
        <w:t>7.2</w:t>
      </w:r>
      <w:r w:rsidR="00053BAD">
        <w:t>68</w:t>
      </w:r>
      <w:r w:rsidRPr="006B1DE1">
        <w:t xml:space="preserve"> and underspends of £</w:t>
      </w:r>
      <w:r w:rsidR="009D4C10">
        <w:t>1.</w:t>
      </w:r>
      <w:r w:rsidR="0028316A">
        <w:t>72</w:t>
      </w:r>
      <w:r w:rsidR="00053BAD">
        <w:t>4</w:t>
      </w:r>
      <w:r w:rsidR="00A00952">
        <w:t>m</w:t>
      </w:r>
    </w:p>
    <w:p w:rsidR="00741AEB" w:rsidRPr="006B1DE1" w:rsidRDefault="00741AEB" w:rsidP="00D44E09">
      <w:pPr>
        <w:numPr>
          <w:ilvl w:val="0"/>
          <w:numId w:val="9"/>
        </w:numPr>
        <w:spacing w:after="240"/>
        <w:ind w:hanging="720"/>
      </w:pPr>
      <w:r w:rsidRPr="006B1DE1">
        <w:t>The forecast variance on the HRA is £</w:t>
      </w:r>
      <w:r w:rsidR="00A00952">
        <w:t>1</w:t>
      </w:r>
      <w:r w:rsidR="009D4C10">
        <w:t>1.</w:t>
      </w:r>
      <w:r w:rsidR="0028316A">
        <w:t>975</w:t>
      </w:r>
      <w:r w:rsidR="003D6C5E">
        <w:t>m</w:t>
      </w:r>
      <w:r w:rsidRPr="006B1DE1">
        <w:t>,</w:t>
      </w:r>
      <w:r w:rsidR="002700B2">
        <w:t xml:space="preserve"> </w:t>
      </w:r>
      <w:r w:rsidR="0028316A">
        <w:t>which is all slippage.</w:t>
      </w:r>
    </w:p>
    <w:p w:rsidR="00741AEB" w:rsidRDefault="00741AEB" w:rsidP="00D44E09">
      <w:pPr>
        <w:numPr>
          <w:ilvl w:val="0"/>
          <w:numId w:val="9"/>
        </w:numPr>
        <w:spacing w:after="240"/>
        <w:ind w:hanging="720"/>
      </w:pPr>
      <w:r w:rsidRPr="006B1DE1">
        <w:t xml:space="preserve">Tables 5 and 6 below summarise the capital forecast position and Appendix 4 shows the capital programme in more detail:   </w:t>
      </w:r>
    </w:p>
    <w:p w:rsidR="003B0150" w:rsidRDefault="003B0150" w:rsidP="00741AEB">
      <w:pPr>
        <w:spacing w:after="240"/>
        <w:rPr>
          <w:b/>
          <w:u w:val="single"/>
        </w:rPr>
      </w:pPr>
    </w:p>
    <w:p w:rsidR="003B0150" w:rsidRDefault="003B0150" w:rsidP="00741AEB">
      <w:pPr>
        <w:spacing w:after="240"/>
        <w:rPr>
          <w:b/>
          <w:u w:val="single"/>
        </w:rPr>
      </w:pPr>
    </w:p>
    <w:p w:rsidR="003B0150" w:rsidRDefault="003B0150" w:rsidP="00741AEB">
      <w:pPr>
        <w:spacing w:after="240"/>
        <w:rPr>
          <w:b/>
          <w:u w:val="single"/>
        </w:rPr>
      </w:pPr>
    </w:p>
    <w:p w:rsidR="00741AEB" w:rsidRDefault="00741AEB" w:rsidP="00741AEB">
      <w:pPr>
        <w:spacing w:after="240"/>
        <w:rPr>
          <w:b/>
          <w:u w:val="single"/>
        </w:rPr>
      </w:pPr>
      <w:r w:rsidRPr="006B1DE1">
        <w:rPr>
          <w:b/>
          <w:u w:val="single"/>
        </w:rPr>
        <w:lastRenderedPageBreak/>
        <w:t>Table 5 Summary of forecast by directorate</w:t>
      </w:r>
    </w:p>
    <w:p w:rsidR="008753CD" w:rsidRDefault="008753CD" w:rsidP="008753CD">
      <w:pPr>
        <w:spacing w:after="240"/>
        <w:ind w:left="-567"/>
        <w:rPr>
          <w:b/>
          <w:u w:val="single"/>
        </w:rPr>
      </w:pPr>
      <w:r w:rsidRPr="008753CD">
        <w:rPr>
          <w:noProof/>
          <w:lang w:eastAsia="en-GB"/>
        </w:rPr>
        <w:drawing>
          <wp:inline distT="0" distB="0" distL="0" distR="0" wp14:anchorId="36A854D4" wp14:editId="72CB0F12">
            <wp:extent cx="6108808" cy="2686050"/>
            <wp:effectExtent l="0" t="0" r="635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514" cy="2685921"/>
                    </a:xfrm>
                    <a:prstGeom prst="rect">
                      <a:avLst/>
                    </a:prstGeom>
                    <a:noFill/>
                    <a:ln>
                      <a:noFill/>
                    </a:ln>
                  </pic:spPr>
                </pic:pic>
              </a:graphicData>
            </a:graphic>
          </wp:inline>
        </w:drawing>
      </w:r>
    </w:p>
    <w:p w:rsidR="00741AEB" w:rsidRDefault="00A969AA" w:rsidP="00C6530C">
      <w:pPr>
        <w:rPr>
          <w:b/>
          <w:u w:val="single"/>
        </w:rPr>
      </w:pPr>
      <w:r>
        <w:rPr>
          <w:b/>
          <w:u w:val="single"/>
        </w:rPr>
        <w:br w:type="page"/>
      </w:r>
      <w:r w:rsidR="00741AEB" w:rsidRPr="006B1DE1">
        <w:rPr>
          <w:b/>
          <w:u w:val="single"/>
        </w:rPr>
        <w:lastRenderedPageBreak/>
        <w:t xml:space="preserve">Table 6 Analysis of </w:t>
      </w:r>
      <w:r w:rsidR="00C52CAA">
        <w:rPr>
          <w:b/>
          <w:u w:val="single"/>
        </w:rPr>
        <w:t xml:space="preserve">Forecast </w:t>
      </w:r>
      <w:r w:rsidR="00741AEB" w:rsidRPr="006B1DE1">
        <w:rPr>
          <w:b/>
          <w:u w:val="single"/>
        </w:rPr>
        <w:t xml:space="preserve">Outturn variance </w:t>
      </w:r>
    </w:p>
    <w:p w:rsidR="008753CD" w:rsidRDefault="008753CD" w:rsidP="008753CD">
      <w:pPr>
        <w:spacing w:after="240"/>
        <w:ind w:left="-709"/>
        <w:rPr>
          <w:b/>
          <w:u w:val="single"/>
        </w:rPr>
      </w:pPr>
      <w:r w:rsidRPr="008753CD">
        <w:rPr>
          <w:noProof/>
          <w:lang w:eastAsia="en-GB"/>
        </w:rPr>
        <w:drawing>
          <wp:inline distT="0" distB="0" distL="0" distR="0" wp14:anchorId="730E1F5F" wp14:editId="7FD666AF">
            <wp:extent cx="5903047" cy="2877364"/>
            <wp:effectExtent l="0" t="0" r="254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3214" cy="2877445"/>
                    </a:xfrm>
                    <a:prstGeom prst="rect">
                      <a:avLst/>
                    </a:prstGeom>
                    <a:noFill/>
                    <a:ln>
                      <a:noFill/>
                    </a:ln>
                  </pic:spPr>
                </pic:pic>
              </a:graphicData>
            </a:graphic>
          </wp:inline>
        </w:drawing>
      </w:r>
    </w:p>
    <w:p w:rsidR="00E45D9C" w:rsidRPr="002C672F" w:rsidRDefault="00E45D9C" w:rsidP="00E45D9C">
      <w:pPr>
        <w:keepNext/>
        <w:spacing w:before="240" w:after="120"/>
        <w:outlineLvl w:val="2"/>
        <w:rPr>
          <w:rFonts w:cs="Arial"/>
          <w:b/>
          <w:bCs/>
          <w:szCs w:val="26"/>
        </w:rPr>
      </w:pPr>
      <w:r w:rsidRPr="002C672F">
        <w:rPr>
          <w:rFonts w:cs="Arial"/>
          <w:b/>
          <w:bCs/>
          <w:szCs w:val="26"/>
        </w:rPr>
        <w:t>R</w:t>
      </w:r>
      <w:r w:rsidR="002C672F" w:rsidRPr="002C672F">
        <w:rPr>
          <w:rFonts w:cs="Arial"/>
          <w:b/>
          <w:bCs/>
          <w:szCs w:val="26"/>
        </w:rPr>
        <w:t>ESOURCES DIRECTORATE</w:t>
      </w:r>
    </w:p>
    <w:p w:rsidR="00E45D9C" w:rsidRPr="00D44E09" w:rsidRDefault="00E45D9C" w:rsidP="00D44E09">
      <w:pPr>
        <w:numPr>
          <w:ilvl w:val="0"/>
          <w:numId w:val="9"/>
        </w:numPr>
        <w:spacing w:after="240"/>
        <w:ind w:hanging="720"/>
      </w:pPr>
      <w:r w:rsidRPr="00D44E09">
        <w:t xml:space="preserve">As at Quarter </w:t>
      </w:r>
      <w:r w:rsidR="00A50565">
        <w:t>3</w:t>
      </w:r>
      <w:r w:rsidRPr="00D44E09">
        <w:t xml:space="preserve"> the forecast spend </w:t>
      </w:r>
      <w:proofErr w:type="gramStart"/>
      <w:r w:rsidR="00A50565">
        <w:t>is</w:t>
      </w:r>
      <w:proofErr w:type="gramEnd"/>
      <w:r w:rsidR="00A50565">
        <w:t xml:space="preserve"> £16</w:t>
      </w:r>
      <w:r w:rsidR="0048704A">
        <w:t>.</w:t>
      </w:r>
      <w:r w:rsidR="00A50565">
        <w:t>917</w:t>
      </w:r>
      <w:r w:rsidR="0048704A">
        <w:t>m</w:t>
      </w:r>
      <w:r w:rsidRPr="00D44E09">
        <w:t xml:space="preserve">, </w:t>
      </w:r>
      <w:r w:rsidR="00A50565">
        <w:t>77</w:t>
      </w:r>
      <w:r w:rsidRPr="00D44E09">
        <w:t>% of the 2015/16 Resource’s directorate capital budget. The forecast under spend is £</w:t>
      </w:r>
      <w:r w:rsidR="00A50565">
        <w:t>5.166m</w:t>
      </w:r>
      <w:r w:rsidRPr="00D44E09">
        <w:t xml:space="preserve"> of which £</w:t>
      </w:r>
      <w:r w:rsidR="00A50565">
        <w:t>5.004m is slippage to</w:t>
      </w:r>
      <w:r w:rsidRPr="00D44E09">
        <w:t xml:space="preserve"> </w:t>
      </w:r>
      <w:r w:rsidR="0031658B">
        <w:t>future years</w:t>
      </w:r>
      <w:r w:rsidRPr="00D44E09">
        <w:t xml:space="preserve"> and £</w:t>
      </w:r>
      <w:r w:rsidR="00A50565">
        <w:t>162</w:t>
      </w:r>
      <w:r w:rsidRPr="00D44E09">
        <w:t>k is no longer needed. The main items of slippage are detailed below:</w:t>
      </w:r>
    </w:p>
    <w:p w:rsidR="00E45D9C" w:rsidRPr="00D44E09" w:rsidRDefault="00E45D9C" w:rsidP="00D44E09">
      <w:pPr>
        <w:numPr>
          <w:ilvl w:val="0"/>
          <w:numId w:val="9"/>
        </w:numPr>
        <w:spacing w:after="240"/>
        <w:ind w:hanging="720"/>
      </w:pPr>
      <w:r w:rsidRPr="00D44E09">
        <w:t xml:space="preserve">West London Waste Authority (WLWA) loan. The expected payment to WLWA in respect of a loan for infrastructure is currently projected to slip by £297k, based on the latest payment profile supplied by WLWA. The revenue implication is a minor interest loss on the loan of around £2k. </w:t>
      </w:r>
    </w:p>
    <w:p w:rsidR="00E45D9C" w:rsidRPr="00D44E09" w:rsidRDefault="00E45D9C" w:rsidP="00D44E09">
      <w:pPr>
        <w:numPr>
          <w:ilvl w:val="0"/>
          <w:numId w:val="9"/>
        </w:numPr>
        <w:spacing w:after="240"/>
        <w:ind w:hanging="720"/>
      </w:pPr>
      <w:r w:rsidRPr="00D44E09">
        <w:t>Mobile &amp; Flexible working. Accommodation, Power supplies working Peripherals budget will all be spent, other Council capital budgets for project teams, standing groups needed to deliver SharePoint will require further re</w:t>
      </w:r>
      <w:r w:rsidR="00860227">
        <w:t>search, as a result of this £810</w:t>
      </w:r>
      <w:r w:rsidRPr="00D44E09">
        <w:t>k will be slipped. The direct revenue implication is a saving on the support payment that would have been paid from completion; i</w:t>
      </w:r>
      <w:r w:rsidR="00860227">
        <w:t>t is currently projected as £176</w:t>
      </w:r>
      <w:r w:rsidRPr="00D44E09">
        <w:t>k one-off in 2015/16.</w:t>
      </w:r>
    </w:p>
    <w:p w:rsidR="00E45D9C" w:rsidRPr="001B10B1" w:rsidRDefault="00E45D9C" w:rsidP="00D44E09">
      <w:pPr>
        <w:numPr>
          <w:ilvl w:val="0"/>
          <w:numId w:val="9"/>
        </w:numPr>
        <w:spacing w:after="240"/>
        <w:ind w:hanging="720"/>
      </w:pPr>
      <w:r w:rsidRPr="00D44E09">
        <w:t>Transition and Tran</w:t>
      </w:r>
      <w:r w:rsidR="00DA79D7">
        <w:t>sformation of IT service</w:t>
      </w:r>
      <w:r w:rsidR="00CE5E50">
        <w:t xml:space="preserve"> including On-going refresh and enhancement of ICT</w:t>
      </w:r>
      <w:r w:rsidR="00DA79D7">
        <w:t>. £3.</w:t>
      </w:r>
      <w:r w:rsidR="00DB4DB4">
        <w:t>692</w:t>
      </w:r>
      <w:r w:rsidRPr="00D44E09">
        <w:t xml:space="preserve">m of the budget will be slipped to </w:t>
      </w:r>
      <w:r w:rsidR="00AC20C2">
        <w:t xml:space="preserve">future years </w:t>
      </w:r>
      <w:r w:rsidRPr="001B10B1">
        <w:t>to reflect the current profile of implementation.  There is no quantifiable revenue implication.</w:t>
      </w:r>
    </w:p>
    <w:p w:rsidR="00ED24BB" w:rsidRPr="00C6530C" w:rsidRDefault="00E66211" w:rsidP="00D44E09">
      <w:pPr>
        <w:numPr>
          <w:ilvl w:val="0"/>
          <w:numId w:val="9"/>
        </w:numPr>
        <w:spacing w:after="240"/>
        <w:ind w:hanging="720"/>
      </w:pPr>
      <w:r w:rsidRPr="00C6530C">
        <w:t>ICT Corporate system refresh. £</w:t>
      </w:r>
      <w:r w:rsidR="00AC20C2">
        <w:t>20</w:t>
      </w:r>
      <w:r w:rsidRPr="00C6530C">
        <w:t xml:space="preserve">4k will be slipped </w:t>
      </w:r>
      <w:r w:rsidR="00975720">
        <w:t xml:space="preserve">as a result of </w:t>
      </w:r>
      <w:r w:rsidR="00C6530C">
        <w:t>delay to</w:t>
      </w:r>
      <w:r w:rsidR="00975720">
        <w:t xml:space="preserve"> the delivery of Civica W2 upgrade</w:t>
      </w:r>
      <w:r w:rsidR="00C6530C">
        <w:t>, Sopra</w:t>
      </w:r>
      <w:r w:rsidR="00975720">
        <w:t xml:space="preserve"> Steria is hoping to deliver this project in 2016/17.</w:t>
      </w:r>
    </w:p>
    <w:p w:rsidR="00E45D9C" w:rsidRPr="006B1DE1" w:rsidRDefault="00E45D9C" w:rsidP="00D44E09">
      <w:pPr>
        <w:numPr>
          <w:ilvl w:val="0"/>
          <w:numId w:val="9"/>
        </w:numPr>
        <w:spacing w:after="240"/>
        <w:ind w:hanging="720"/>
        <w:rPr>
          <w:rFonts w:cs="Arial"/>
          <w:bCs/>
          <w:kern w:val="32"/>
          <w:szCs w:val="32"/>
        </w:rPr>
      </w:pPr>
      <w:r w:rsidRPr="00D44E09">
        <w:t>There</w:t>
      </w:r>
      <w:r w:rsidRPr="006B1DE1">
        <w:rPr>
          <w:rFonts w:cs="Arial"/>
          <w:bCs/>
          <w:kern w:val="32"/>
          <w:szCs w:val="32"/>
        </w:rPr>
        <w:t xml:space="preserve"> is a net underspend across the directorate of £</w:t>
      </w:r>
      <w:r w:rsidR="00DA79D7">
        <w:rPr>
          <w:rFonts w:cs="Arial"/>
          <w:bCs/>
          <w:kern w:val="32"/>
          <w:szCs w:val="32"/>
        </w:rPr>
        <w:t>16</w:t>
      </w:r>
      <w:r w:rsidR="00442337">
        <w:rPr>
          <w:rFonts w:cs="Arial"/>
          <w:bCs/>
          <w:kern w:val="32"/>
          <w:szCs w:val="32"/>
        </w:rPr>
        <w:t>2</w:t>
      </w:r>
      <w:r w:rsidRPr="006B1DE1">
        <w:rPr>
          <w:rFonts w:cs="Arial"/>
          <w:bCs/>
          <w:kern w:val="32"/>
          <w:szCs w:val="32"/>
        </w:rPr>
        <w:t xml:space="preserve">k as detailed below: </w:t>
      </w:r>
    </w:p>
    <w:p w:rsidR="00E45D9C" w:rsidRPr="00D44E09" w:rsidRDefault="00ED24BB" w:rsidP="00D44E09">
      <w:pPr>
        <w:numPr>
          <w:ilvl w:val="0"/>
          <w:numId w:val="9"/>
        </w:numPr>
        <w:spacing w:after="240"/>
        <w:ind w:hanging="720"/>
      </w:pPr>
      <w:r>
        <w:t>Busin</w:t>
      </w:r>
      <w:r w:rsidR="00442337">
        <w:t>ess Transformation Project. £150</w:t>
      </w:r>
      <w:r>
        <w:t>k - this include £</w:t>
      </w:r>
      <w:r w:rsidR="00442337">
        <w:t>100</w:t>
      </w:r>
      <w:r w:rsidR="00E45D9C" w:rsidRPr="00D44E09">
        <w:t xml:space="preserve">k of the budget allocated to waste vehicle in-cab refresh and for Tablets is anticipated to underspend. In addition £50k allocated to the refresh of </w:t>
      </w:r>
      <w:r w:rsidR="00E45D9C" w:rsidRPr="00D44E09">
        <w:lastRenderedPageBreak/>
        <w:t>scanners</w:t>
      </w:r>
      <w:r w:rsidR="0001210E">
        <w:t xml:space="preserve"> </w:t>
      </w:r>
      <w:r w:rsidR="00442337">
        <w:t xml:space="preserve">of </w:t>
      </w:r>
      <w:r w:rsidR="00442337" w:rsidRPr="00D44E09">
        <w:t>is</w:t>
      </w:r>
      <w:r w:rsidR="00E45D9C" w:rsidRPr="00D44E09">
        <w:t xml:space="preserve"> anticipated to underspend as a result of outsourcing the service</w:t>
      </w:r>
      <w:r>
        <w:t xml:space="preserve"> and other minor underspend of £</w:t>
      </w:r>
      <w:r w:rsidR="00442337">
        <w:t>12</w:t>
      </w:r>
      <w:r>
        <w:t>k</w:t>
      </w:r>
      <w:r w:rsidR="00E45D9C" w:rsidRPr="00D44E09">
        <w:t xml:space="preserve">. </w:t>
      </w:r>
    </w:p>
    <w:p w:rsidR="002E14DC" w:rsidRPr="002C672F" w:rsidRDefault="002E14DC" w:rsidP="00741AEB">
      <w:pPr>
        <w:spacing w:after="240"/>
        <w:rPr>
          <w:b/>
        </w:rPr>
      </w:pPr>
      <w:r w:rsidRPr="002C672F">
        <w:rPr>
          <w:b/>
        </w:rPr>
        <w:t>COMMUNITY</w:t>
      </w:r>
      <w:r w:rsidR="002C672F" w:rsidRPr="002C672F">
        <w:rPr>
          <w:b/>
        </w:rPr>
        <w:t xml:space="preserve"> DIRECTORATE</w:t>
      </w:r>
    </w:p>
    <w:p w:rsidR="009E7FE2" w:rsidRPr="00AC0BB3" w:rsidRDefault="00525D83" w:rsidP="00D44E09">
      <w:pPr>
        <w:numPr>
          <w:ilvl w:val="0"/>
          <w:numId w:val="9"/>
        </w:numPr>
        <w:spacing w:after="240"/>
        <w:ind w:hanging="720"/>
      </w:pPr>
      <w:r>
        <w:rPr>
          <w:rFonts w:cs="Arial"/>
          <w:bCs/>
          <w:kern w:val="32"/>
          <w:szCs w:val="32"/>
        </w:rPr>
        <w:t>As at</w:t>
      </w:r>
      <w:r w:rsidRPr="00DD4605">
        <w:rPr>
          <w:rFonts w:cs="Arial"/>
          <w:bCs/>
          <w:kern w:val="32"/>
          <w:szCs w:val="32"/>
        </w:rPr>
        <w:t xml:space="preserve"> Quarter 2 the revised forecast is £</w:t>
      </w:r>
      <w:r w:rsidR="00442337">
        <w:rPr>
          <w:rFonts w:cs="Arial"/>
          <w:bCs/>
          <w:kern w:val="32"/>
          <w:szCs w:val="32"/>
        </w:rPr>
        <w:t>25.516</w:t>
      </w:r>
      <w:r>
        <w:rPr>
          <w:rFonts w:cs="Arial"/>
          <w:bCs/>
          <w:kern w:val="32"/>
          <w:szCs w:val="32"/>
        </w:rPr>
        <w:t>m</w:t>
      </w:r>
      <w:r w:rsidRPr="00DD4605">
        <w:rPr>
          <w:rFonts w:cs="Arial"/>
          <w:bCs/>
          <w:kern w:val="32"/>
          <w:szCs w:val="32"/>
        </w:rPr>
        <w:t xml:space="preserve">, </w:t>
      </w:r>
      <w:r w:rsidR="00442337">
        <w:rPr>
          <w:rFonts w:cs="Arial"/>
          <w:bCs/>
          <w:kern w:val="32"/>
          <w:szCs w:val="32"/>
        </w:rPr>
        <w:t>72</w:t>
      </w:r>
      <w:r w:rsidRPr="00DD4605">
        <w:rPr>
          <w:rFonts w:cs="Arial"/>
          <w:bCs/>
          <w:kern w:val="32"/>
          <w:szCs w:val="32"/>
        </w:rPr>
        <w:t>% of the total budget</w:t>
      </w:r>
      <w:r w:rsidR="00374CD9">
        <w:rPr>
          <w:rFonts w:cs="Arial"/>
          <w:bCs/>
          <w:kern w:val="32"/>
          <w:szCs w:val="32"/>
        </w:rPr>
        <w:t>.</w:t>
      </w:r>
    </w:p>
    <w:p w:rsidR="00AA2609" w:rsidRPr="00AA2609" w:rsidRDefault="00AA2609" w:rsidP="00A969AA">
      <w:pPr>
        <w:numPr>
          <w:ilvl w:val="0"/>
          <w:numId w:val="9"/>
        </w:numPr>
        <w:spacing w:after="240"/>
        <w:ind w:hanging="720"/>
        <w:rPr>
          <w:rFonts w:cs="Arial"/>
          <w:bCs/>
          <w:kern w:val="32"/>
          <w:szCs w:val="32"/>
        </w:rPr>
      </w:pPr>
      <w:r w:rsidRPr="00AA2609">
        <w:rPr>
          <w:rFonts w:cs="Arial"/>
          <w:bCs/>
          <w:kern w:val="32"/>
          <w:szCs w:val="32"/>
        </w:rPr>
        <w:t>The forecast under spend is £</w:t>
      </w:r>
      <w:r>
        <w:rPr>
          <w:rFonts w:cs="Arial"/>
          <w:bCs/>
          <w:kern w:val="32"/>
          <w:szCs w:val="32"/>
        </w:rPr>
        <w:t>9.704</w:t>
      </w:r>
      <w:r w:rsidRPr="00AA2609">
        <w:rPr>
          <w:rFonts w:cs="Arial"/>
          <w:bCs/>
          <w:kern w:val="32"/>
          <w:szCs w:val="32"/>
        </w:rPr>
        <w:t>m of which £</w:t>
      </w:r>
      <w:r>
        <w:rPr>
          <w:rFonts w:cs="Arial"/>
          <w:bCs/>
          <w:kern w:val="32"/>
          <w:szCs w:val="32"/>
        </w:rPr>
        <w:t>8.355</w:t>
      </w:r>
      <w:r w:rsidRPr="00AA2609">
        <w:rPr>
          <w:rFonts w:cs="Arial"/>
          <w:bCs/>
          <w:kern w:val="32"/>
          <w:szCs w:val="32"/>
        </w:rPr>
        <w:t>m will be slipped to 2016-17 and £</w:t>
      </w:r>
      <w:r>
        <w:rPr>
          <w:rFonts w:cs="Arial"/>
          <w:bCs/>
          <w:kern w:val="32"/>
          <w:szCs w:val="32"/>
        </w:rPr>
        <w:t>1.349</w:t>
      </w:r>
      <w:r w:rsidRPr="00AA2609">
        <w:rPr>
          <w:rFonts w:cs="Arial"/>
          <w:bCs/>
          <w:kern w:val="32"/>
          <w:szCs w:val="32"/>
        </w:rPr>
        <w:t>k is no longer needed. The main items of slippage</w:t>
      </w:r>
      <w:r>
        <w:rPr>
          <w:rFonts w:cs="Arial"/>
          <w:bCs/>
          <w:kern w:val="32"/>
          <w:szCs w:val="32"/>
        </w:rPr>
        <w:t xml:space="preserve"> and underspend</w:t>
      </w:r>
      <w:r w:rsidRPr="00AA2609">
        <w:rPr>
          <w:rFonts w:cs="Arial"/>
          <w:bCs/>
          <w:kern w:val="32"/>
          <w:szCs w:val="32"/>
        </w:rPr>
        <w:t xml:space="preserve"> are detailed below:</w:t>
      </w:r>
    </w:p>
    <w:p w:rsidR="002E14DC" w:rsidRDefault="00E45D9C" w:rsidP="00741AEB">
      <w:pPr>
        <w:spacing w:after="240"/>
        <w:rPr>
          <w:b/>
          <w:u w:val="single"/>
        </w:rPr>
      </w:pPr>
      <w:r>
        <w:rPr>
          <w:b/>
          <w:u w:val="single"/>
        </w:rPr>
        <w:t>Environment &amp; Commissioning</w:t>
      </w:r>
    </w:p>
    <w:p w:rsidR="00E45D9C" w:rsidRPr="006B1DE1" w:rsidRDefault="00442337" w:rsidP="002E4BE3">
      <w:pPr>
        <w:numPr>
          <w:ilvl w:val="0"/>
          <w:numId w:val="9"/>
        </w:numPr>
        <w:spacing w:after="240"/>
        <w:ind w:hanging="720"/>
        <w:rPr>
          <w:rFonts w:cs="Arial"/>
          <w:bCs/>
          <w:kern w:val="32"/>
          <w:szCs w:val="32"/>
        </w:rPr>
      </w:pPr>
      <w:r>
        <w:rPr>
          <w:rFonts w:cs="Arial"/>
          <w:bCs/>
          <w:kern w:val="32"/>
          <w:szCs w:val="32"/>
        </w:rPr>
        <w:t xml:space="preserve"> At Quarter 3</w:t>
      </w:r>
      <w:r w:rsidR="004C6495">
        <w:rPr>
          <w:rFonts w:cs="Arial"/>
          <w:bCs/>
          <w:kern w:val="32"/>
          <w:szCs w:val="32"/>
        </w:rPr>
        <w:t xml:space="preserve"> the revised forecast is £18.847</w:t>
      </w:r>
      <w:r w:rsidR="00375004">
        <w:rPr>
          <w:rFonts w:cs="Arial"/>
          <w:bCs/>
          <w:kern w:val="32"/>
          <w:szCs w:val="32"/>
        </w:rPr>
        <w:t>m</w:t>
      </w:r>
    </w:p>
    <w:p w:rsidR="00E45D9C" w:rsidRPr="006B1DE1" w:rsidRDefault="00E45D9C" w:rsidP="00F43333">
      <w:pPr>
        <w:numPr>
          <w:ilvl w:val="0"/>
          <w:numId w:val="9"/>
        </w:numPr>
        <w:spacing w:after="240"/>
        <w:ind w:hanging="720"/>
        <w:rPr>
          <w:rFonts w:cs="Arial"/>
          <w:bCs/>
          <w:kern w:val="32"/>
          <w:szCs w:val="32"/>
        </w:rPr>
      </w:pPr>
      <w:r w:rsidRPr="006B1DE1">
        <w:rPr>
          <w:rFonts w:cs="Arial"/>
          <w:bCs/>
          <w:kern w:val="32"/>
          <w:szCs w:val="32"/>
        </w:rPr>
        <w:t>The forecast under spend is</w:t>
      </w:r>
      <w:r w:rsidR="004C6495">
        <w:rPr>
          <w:rFonts w:cs="Arial"/>
          <w:bCs/>
          <w:kern w:val="32"/>
          <w:szCs w:val="32"/>
        </w:rPr>
        <w:t xml:space="preserve"> £2.188</w:t>
      </w:r>
      <w:r w:rsidRPr="006B1DE1">
        <w:rPr>
          <w:rFonts w:cs="Arial"/>
          <w:bCs/>
          <w:kern w:val="32"/>
          <w:szCs w:val="32"/>
        </w:rPr>
        <w:t>m</w:t>
      </w:r>
      <w:r w:rsidR="00791192">
        <w:rPr>
          <w:rFonts w:cs="Arial"/>
          <w:bCs/>
          <w:kern w:val="32"/>
          <w:szCs w:val="32"/>
        </w:rPr>
        <w:t xml:space="preserve">, </w:t>
      </w:r>
      <w:r w:rsidRPr="006B1DE1">
        <w:rPr>
          <w:rFonts w:cs="Arial"/>
          <w:bCs/>
          <w:kern w:val="32"/>
          <w:szCs w:val="32"/>
        </w:rPr>
        <w:t>and will all be slipped to 2016/17.</w:t>
      </w:r>
    </w:p>
    <w:p w:rsidR="00E45D9C" w:rsidRPr="006B1DE1" w:rsidRDefault="00E45D9C" w:rsidP="00F43333">
      <w:pPr>
        <w:numPr>
          <w:ilvl w:val="0"/>
          <w:numId w:val="9"/>
        </w:numPr>
        <w:spacing w:after="240"/>
        <w:ind w:hanging="720"/>
        <w:rPr>
          <w:rFonts w:cs="Arial"/>
          <w:bCs/>
          <w:kern w:val="32"/>
          <w:szCs w:val="32"/>
        </w:rPr>
      </w:pPr>
      <w:r w:rsidRPr="006B1DE1">
        <w:rPr>
          <w:rFonts w:cs="Arial"/>
          <w:bCs/>
          <w:kern w:val="32"/>
          <w:szCs w:val="32"/>
        </w:rPr>
        <w:t>The main item of slippage and reasons are detailed below:</w:t>
      </w:r>
    </w:p>
    <w:p w:rsidR="00E45D9C" w:rsidRPr="00D44E09" w:rsidRDefault="00E45D9C" w:rsidP="00F43333">
      <w:pPr>
        <w:numPr>
          <w:ilvl w:val="0"/>
          <w:numId w:val="9"/>
        </w:numPr>
        <w:spacing w:after="240"/>
        <w:ind w:hanging="720"/>
        <w:rPr>
          <w:rFonts w:cs="Arial"/>
          <w:bCs/>
          <w:kern w:val="32"/>
          <w:szCs w:val="32"/>
        </w:rPr>
      </w:pPr>
      <w:r w:rsidRPr="00042683">
        <w:rPr>
          <w:rFonts w:cs="Arial"/>
          <w:bCs/>
          <w:kern w:val="32"/>
          <w:szCs w:val="32"/>
        </w:rPr>
        <w:t>Harrow on the Hill Station project - £2m. This project is assumed to be largely funded by TfL with a contribution from the Council of £3.1m over the life of the project. Some preliminary works were completed in 14/15. The scheme is currently under discussion with the TfL, and therefore it is anticipated that the budget profiled for this year will be slipped</w:t>
      </w:r>
      <w:r>
        <w:rPr>
          <w:rFonts w:cs="Arial"/>
          <w:bCs/>
          <w:kern w:val="32"/>
          <w:szCs w:val="32"/>
        </w:rPr>
        <w:t>.</w:t>
      </w:r>
    </w:p>
    <w:p w:rsidR="00E77F63" w:rsidRPr="004C6495" w:rsidRDefault="001B35A1" w:rsidP="00F43333">
      <w:pPr>
        <w:numPr>
          <w:ilvl w:val="0"/>
          <w:numId w:val="9"/>
        </w:numPr>
        <w:spacing w:after="240"/>
        <w:ind w:hanging="720"/>
        <w:rPr>
          <w:rFonts w:cs="Arial"/>
          <w:bCs/>
          <w:szCs w:val="26"/>
        </w:rPr>
      </w:pPr>
      <w:r>
        <w:rPr>
          <w:rFonts w:cs="Arial"/>
          <w:bCs/>
          <w:kern w:val="32"/>
          <w:szCs w:val="32"/>
        </w:rPr>
        <w:t xml:space="preserve">Green Grid Programme </w:t>
      </w:r>
      <w:r w:rsidR="00F3582A" w:rsidRPr="003F47B4">
        <w:rPr>
          <w:rFonts w:cs="Arial"/>
          <w:bCs/>
          <w:kern w:val="32"/>
          <w:szCs w:val="32"/>
        </w:rPr>
        <w:t>–</w:t>
      </w:r>
      <w:r w:rsidRPr="003F47B4">
        <w:rPr>
          <w:rFonts w:cs="Arial"/>
          <w:bCs/>
          <w:kern w:val="32"/>
          <w:szCs w:val="32"/>
        </w:rPr>
        <w:t xml:space="preserve"> </w:t>
      </w:r>
      <w:r w:rsidR="003F47B4" w:rsidRPr="003F47B4">
        <w:rPr>
          <w:rFonts w:cs="Arial"/>
          <w:bCs/>
          <w:kern w:val="32"/>
          <w:szCs w:val="32"/>
        </w:rPr>
        <w:t>The forecast slippage of £188k relates to Stanmore Marsh project which is partially funded by the GLA, S106 monies and Harrow capital. This is a two year project but there is a spend deadline for the GLA grant of 31st March 2015, and therefore the funding has been profiled to utilise the GLA grant in this financial year and S106 monies in 16/17. The S106 budget for this project has been agreed and set aside to meet the remaining expenditure on Stanmore Marsh project next year.</w:t>
      </w:r>
    </w:p>
    <w:p w:rsidR="006240E1" w:rsidRPr="006240E1" w:rsidRDefault="006240E1" w:rsidP="00F43333">
      <w:pPr>
        <w:numPr>
          <w:ilvl w:val="0"/>
          <w:numId w:val="9"/>
        </w:numPr>
        <w:spacing w:after="240"/>
        <w:ind w:hanging="720"/>
        <w:rPr>
          <w:rFonts w:cs="Arial"/>
          <w:bCs/>
          <w:szCs w:val="26"/>
        </w:rPr>
      </w:pPr>
      <w:r>
        <w:rPr>
          <w:rFonts w:cs="Arial"/>
          <w:bCs/>
          <w:szCs w:val="26"/>
        </w:rPr>
        <w:t xml:space="preserve">Pinner Park Farm – £518k. </w:t>
      </w:r>
      <w:r w:rsidR="002C2BF0">
        <w:rPr>
          <w:rFonts w:cs="Arial"/>
          <w:bCs/>
          <w:szCs w:val="26"/>
        </w:rPr>
        <w:t>P</w:t>
      </w:r>
      <w:r w:rsidRPr="006240E1">
        <w:rPr>
          <w:rFonts w:cs="Arial"/>
          <w:bCs/>
          <w:szCs w:val="26"/>
        </w:rPr>
        <w:t>roject on hold. £20k spends this year. No further spend is anticipated until further instructions to progress are obtained.</w:t>
      </w:r>
    </w:p>
    <w:p w:rsidR="00E45D9C" w:rsidRDefault="00E45D9C" w:rsidP="00741AEB">
      <w:pPr>
        <w:spacing w:after="240"/>
        <w:rPr>
          <w:b/>
          <w:u w:val="single"/>
        </w:rPr>
      </w:pPr>
      <w:r>
        <w:rPr>
          <w:b/>
          <w:u w:val="single"/>
        </w:rPr>
        <w:t>Culture</w:t>
      </w:r>
    </w:p>
    <w:p w:rsidR="00E45D9C" w:rsidRDefault="00E45D9C" w:rsidP="00F43333">
      <w:pPr>
        <w:numPr>
          <w:ilvl w:val="0"/>
          <w:numId w:val="9"/>
        </w:numPr>
        <w:spacing w:after="240"/>
        <w:ind w:hanging="720"/>
        <w:rPr>
          <w:rFonts w:cs="Arial"/>
          <w:bCs/>
          <w:kern w:val="32"/>
          <w:szCs w:val="32"/>
        </w:rPr>
      </w:pPr>
      <w:r w:rsidRPr="006B1DE1">
        <w:rPr>
          <w:rFonts w:cs="Arial"/>
          <w:bCs/>
          <w:kern w:val="32"/>
          <w:szCs w:val="32"/>
        </w:rPr>
        <w:t>Banister Sports Centre Impr</w:t>
      </w:r>
      <w:r w:rsidR="001058A6">
        <w:rPr>
          <w:rFonts w:cs="Arial"/>
          <w:bCs/>
          <w:kern w:val="32"/>
          <w:szCs w:val="32"/>
        </w:rPr>
        <w:t xml:space="preserve">ovement – This development is linked to Kodak site, this has already been approved by the planning committee and s106 money secured. However </w:t>
      </w:r>
      <w:r w:rsidRPr="006B1DE1">
        <w:rPr>
          <w:rFonts w:cs="Arial"/>
          <w:bCs/>
          <w:kern w:val="32"/>
          <w:szCs w:val="32"/>
        </w:rPr>
        <w:t>a decision is still pending on the sale of land on Kodak site, no further plans can be made until th</w:t>
      </w:r>
      <w:r w:rsidR="001058A6">
        <w:rPr>
          <w:rFonts w:cs="Arial"/>
          <w:bCs/>
          <w:kern w:val="32"/>
          <w:szCs w:val="32"/>
        </w:rPr>
        <w:t>is happed. T</w:t>
      </w:r>
      <w:r w:rsidRPr="006B1DE1">
        <w:rPr>
          <w:rFonts w:cs="Arial"/>
          <w:bCs/>
          <w:kern w:val="32"/>
          <w:szCs w:val="32"/>
        </w:rPr>
        <w:t xml:space="preserve">here is no revenue impact.  </w:t>
      </w:r>
      <w:r w:rsidR="00F3582A">
        <w:rPr>
          <w:rFonts w:cs="Arial"/>
          <w:bCs/>
          <w:kern w:val="32"/>
          <w:szCs w:val="32"/>
        </w:rPr>
        <w:t>(</w:t>
      </w:r>
      <w:r w:rsidRPr="006B1DE1">
        <w:rPr>
          <w:rFonts w:cs="Arial"/>
          <w:bCs/>
          <w:kern w:val="32"/>
          <w:szCs w:val="32"/>
        </w:rPr>
        <w:t>£1.004m</w:t>
      </w:r>
      <w:r w:rsidR="00F3582A">
        <w:rPr>
          <w:rFonts w:cs="Arial"/>
          <w:bCs/>
          <w:kern w:val="32"/>
          <w:szCs w:val="32"/>
        </w:rPr>
        <w:t>)</w:t>
      </w:r>
      <w:r w:rsidRPr="006B1DE1">
        <w:rPr>
          <w:rFonts w:cs="Arial"/>
          <w:bCs/>
          <w:kern w:val="32"/>
          <w:szCs w:val="32"/>
        </w:rPr>
        <w:t>.</w:t>
      </w:r>
    </w:p>
    <w:p w:rsidR="001058A6" w:rsidRDefault="001058A6" w:rsidP="00F43333">
      <w:pPr>
        <w:numPr>
          <w:ilvl w:val="0"/>
          <w:numId w:val="9"/>
        </w:numPr>
        <w:spacing w:after="240"/>
        <w:ind w:hanging="720"/>
        <w:rPr>
          <w:rFonts w:cs="Arial"/>
          <w:bCs/>
          <w:kern w:val="32"/>
          <w:szCs w:val="32"/>
        </w:rPr>
      </w:pPr>
      <w:r>
        <w:rPr>
          <w:rFonts w:cs="Arial"/>
          <w:bCs/>
          <w:kern w:val="32"/>
          <w:szCs w:val="32"/>
        </w:rPr>
        <w:t xml:space="preserve">Headstone Manor – On-going project with Heritage Lottery Fund, </w:t>
      </w:r>
      <w:r w:rsidR="00277F3C">
        <w:rPr>
          <w:rFonts w:cs="Arial"/>
          <w:bCs/>
          <w:kern w:val="32"/>
          <w:szCs w:val="32"/>
        </w:rPr>
        <w:t xml:space="preserve">forecast relates to </w:t>
      </w:r>
      <w:proofErr w:type="gramStart"/>
      <w:r w:rsidR="00277F3C">
        <w:rPr>
          <w:rFonts w:cs="Arial"/>
          <w:bCs/>
          <w:kern w:val="32"/>
          <w:szCs w:val="32"/>
        </w:rPr>
        <w:t>phase</w:t>
      </w:r>
      <w:proofErr w:type="gramEnd"/>
      <w:r w:rsidR="00277F3C">
        <w:rPr>
          <w:rFonts w:cs="Arial"/>
          <w:bCs/>
          <w:kern w:val="32"/>
          <w:szCs w:val="32"/>
        </w:rPr>
        <w:t xml:space="preserve"> one of the project, underspend will be slipped to 2016/17. There is no revenue implication. </w:t>
      </w:r>
      <w:r w:rsidR="00F3582A">
        <w:rPr>
          <w:rFonts w:cs="Arial"/>
          <w:bCs/>
          <w:kern w:val="32"/>
          <w:szCs w:val="32"/>
        </w:rPr>
        <w:t>(</w:t>
      </w:r>
      <w:r w:rsidR="00277F3C">
        <w:rPr>
          <w:rFonts w:cs="Arial"/>
          <w:bCs/>
          <w:kern w:val="32"/>
          <w:szCs w:val="32"/>
        </w:rPr>
        <w:t>£100k</w:t>
      </w:r>
      <w:r w:rsidR="00F3582A">
        <w:rPr>
          <w:rFonts w:cs="Arial"/>
          <w:bCs/>
          <w:kern w:val="32"/>
          <w:szCs w:val="32"/>
        </w:rPr>
        <w:t>)</w:t>
      </w:r>
      <w:r w:rsidR="00277F3C">
        <w:rPr>
          <w:rFonts w:cs="Arial"/>
          <w:bCs/>
          <w:kern w:val="32"/>
          <w:szCs w:val="32"/>
        </w:rPr>
        <w:t xml:space="preserve">. </w:t>
      </w:r>
    </w:p>
    <w:p w:rsidR="003B0150" w:rsidRDefault="003B0150" w:rsidP="00741AEB">
      <w:pPr>
        <w:spacing w:after="240"/>
        <w:rPr>
          <w:b/>
          <w:u w:val="single"/>
        </w:rPr>
      </w:pPr>
    </w:p>
    <w:p w:rsidR="00E45D9C" w:rsidRDefault="00E45D9C" w:rsidP="00741AEB">
      <w:pPr>
        <w:spacing w:after="240"/>
        <w:rPr>
          <w:b/>
          <w:u w:val="single"/>
        </w:rPr>
      </w:pPr>
      <w:r>
        <w:rPr>
          <w:b/>
          <w:u w:val="single"/>
        </w:rPr>
        <w:lastRenderedPageBreak/>
        <w:t>Housing General Fund</w:t>
      </w:r>
    </w:p>
    <w:p w:rsidR="00A50259" w:rsidRDefault="00A50259" w:rsidP="00A50259">
      <w:pPr>
        <w:numPr>
          <w:ilvl w:val="0"/>
          <w:numId w:val="9"/>
        </w:numPr>
        <w:spacing w:after="240"/>
        <w:ind w:hanging="720"/>
        <w:rPr>
          <w:rFonts w:cs="Arial"/>
          <w:bCs/>
          <w:kern w:val="32"/>
          <w:szCs w:val="32"/>
        </w:rPr>
      </w:pPr>
      <w:r w:rsidRPr="00D10C04">
        <w:rPr>
          <w:rFonts w:cs="Arial"/>
          <w:bCs/>
          <w:kern w:val="32"/>
          <w:szCs w:val="32"/>
        </w:rPr>
        <w:t xml:space="preserve">Empty Property Grant </w:t>
      </w:r>
      <w:proofErr w:type="gramStart"/>
      <w:r w:rsidRPr="00D10C04">
        <w:rPr>
          <w:rFonts w:cs="Arial"/>
          <w:bCs/>
          <w:kern w:val="32"/>
          <w:szCs w:val="32"/>
        </w:rPr>
        <w:t>-  Grant</w:t>
      </w:r>
      <w:proofErr w:type="gramEnd"/>
      <w:r w:rsidRPr="00D10C04">
        <w:rPr>
          <w:rFonts w:cs="Arial"/>
          <w:bCs/>
          <w:kern w:val="32"/>
          <w:szCs w:val="32"/>
        </w:rPr>
        <w:t xml:space="preserve"> payments to private </w:t>
      </w:r>
      <w:r>
        <w:rPr>
          <w:rFonts w:cs="Arial"/>
          <w:bCs/>
          <w:kern w:val="32"/>
          <w:szCs w:val="32"/>
        </w:rPr>
        <w:t xml:space="preserve">property owners </w:t>
      </w:r>
      <w:r w:rsidRPr="00D10C04">
        <w:rPr>
          <w:rFonts w:cs="Arial"/>
          <w:bCs/>
          <w:kern w:val="32"/>
          <w:szCs w:val="32"/>
        </w:rPr>
        <w:t xml:space="preserve">in return for nomination right to house homeless persons in these properties </w:t>
      </w:r>
      <w:r>
        <w:rPr>
          <w:rFonts w:cs="Arial"/>
          <w:bCs/>
          <w:kern w:val="32"/>
          <w:szCs w:val="32"/>
        </w:rPr>
        <w:t xml:space="preserve">instead of in </w:t>
      </w:r>
      <w:r w:rsidRPr="00D10C04">
        <w:rPr>
          <w:rFonts w:cs="Arial"/>
          <w:bCs/>
          <w:kern w:val="32"/>
          <w:szCs w:val="32"/>
        </w:rPr>
        <w:t>more expensive Bed &amp; Breakfast accommodation</w:t>
      </w:r>
      <w:r>
        <w:rPr>
          <w:rFonts w:cs="Arial"/>
          <w:bCs/>
          <w:kern w:val="32"/>
          <w:szCs w:val="32"/>
        </w:rPr>
        <w:t xml:space="preserve">. Demand-led so </w:t>
      </w:r>
      <w:r w:rsidRPr="00D10C04">
        <w:rPr>
          <w:rFonts w:cs="Arial"/>
          <w:bCs/>
          <w:kern w:val="32"/>
          <w:szCs w:val="32"/>
        </w:rPr>
        <w:t>lower number of properties becoming available</w:t>
      </w:r>
      <w:r>
        <w:rPr>
          <w:rFonts w:cs="Arial"/>
          <w:bCs/>
          <w:kern w:val="32"/>
          <w:szCs w:val="32"/>
        </w:rPr>
        <w:t xml:space="preserve"> results in underspend</w:t>
      </w:r>
      <w:proofErr w:type="gramStart"/>
      <w:r>
        <w:rPr>
          <w:rFonts w:cs="Arial"/>
          <w:bCs/>
          <w:kern w:val="32"/>
          <w:szCs w:val="32"/>
        </w:rPr>
        <w:t>.</w:t>
      </w:r>
      <w:r w:rsidRPr="00D10C04">
        <w:rPr>
          <w:rFonts w:cs="Arial"/>
          <w:bCs/>
          <w:kern w:val="32"/>
          <w:szCs w:val="32"/>
        </w:rPr>
        <w:t>(</w:t>
      </w:r>
      <w:proofErr w:type="gramEnd"/>
      <w:r w:rsidRPr="00D10C04">
        <w:rPr>
          <w:rFonts w:cs="Arial"/>
          <w:bCs/>
          <w:kern w:val="32"/>
          <w:szCs w:val="32"/>
        </w:rPr>
        <w:t>£45k).</w:t>
      </w:r>
    </w:p>
    <w:p w:rsidR="00A50259" w:rsidRPr="00D10C04" w:rsidRDefault="00A50259" w:rsidP="00A50259">
      <w:pPr>
        <w:numPr>
          <w:ilvl w:val="0"/>
          <w:numId w:val="9"/>
        </w:numPr>
        <w:spacing w:after="240"/>
        <w:ind w:hanging="720"/>
        <w:rPr>
          <w:rFonts w:cs="Arial"/>
          <w:bCs/>
          <w:kern w:val="32"/>
          <w:szCs w:val="32"/>
        </w:rPr>
      </w:pPr>
      <w:r w:rsidRPr="00D10C04">
        <w:rPr>
          <w:rFonts w:cs="Arial"/>
          <w:bCs/>
          <w:kern w:val="32"/>
          <w:szCs w:val="32"/>
        </w:rPr>
        <w:t xml:space="preserve">Housing Property Purchase – (£4.5m). </w:t>
      </w:r>
      <w:r>
        <w:rPr>
          <w:rFonts w:cs="Arial"/>
          <w:bCs/>
          <w:kern w:val="32"/>
          <w:szCs w:val="32"/>
        </w:rPr>
        <w:t>A combination of a delay in establishing the</w:t>
      </w:r>
      <w:r w:rsidRPr="00D10C04">
        <w:rPr>
          <w:rFonts w:cs="Arial"/>
          <w:bCs/>
          <w:kern w:val="32"/>
          <w:szCs w:val="32"/>
        </w:rPr>
        <w:t xml:space="preserve"> Limited Liability Partnership which w</w:t>
      </w:r>
      <w:r>
        <w:rPr>
          <w:rFonts w:cs="Arial"/>
          <w:bCs/>
          <w:kern w:val="32"/>
          <w:szCs w:val="32"/>
        </w:rPr>
        <w:t>ill</w:t>
      </w:r>
      <w:r w:rsidRPr="00D10C04">
        <w:rPr>
          <w:rFonts w:cs="Arial"/>
          <w:bCs/>
          <w:kern w:val="32"/>
          <w:szCs w:val="32"/>
        </w:rPr>
        <w:t xml:space="preserve"> hold </w:t>
      </w:r>
      <w:r>
        <w:rPr>
          <w:rFonts w:cs="Arial"/>
          <w:bCs/>
          <w:kern w:val="32"/>
          <w:szCs w:val="32"/>
        </w:rPr>
        <w:t xml:space="preserve">the </w:t>
      </w:r>
      <w:r w:rsidRPr="00D10C04">
        <w:rPr>
          <w:rFonts w:cs="Arial"/>
          <w:bCs/>
          <w:kern w:val="32"/>
          <w:szCs w:val="32"/>
        </w:rPr>
        <w:t xml:space="preserve">properties </w:t>
      </w:r>
      <w:r>
        <w:rPr>
          <w:rFonts w:cs="Arial"/>
          <w:bCs/>
          <w:kern w:val="32"/>
          <w:szCs w:val="32"/>
        </w:rPr>
        <w:t xml:space="preserve">purchased under this initiative, </w:t>
      </w:r>
      <w:proofErr w:type="gramStart"/>
      <w:r>
        <w:rPr>
          <w:rFonts w:cs="Arial"/>
          <w:bCs/>
          <w:kern w:val="32"/>
          <w:szCs w:val="32"/>
        </w:rPr>
        <w:t>and  a</w:t>
      </w:r>
      <w:proofErr w:type="gramEnd"/>
      <w:r>
        <w:rPr>
          <w:rFonts w:cs="Arial"/>
          <w:bCs/>
          <w:kern w:val="32"/>
          <w:szCs w:val="32"/>
        </w:rPr>
        <w:t xml:space="preserve"> shortage of appropriate properties h</w:t>
      </w:r>
      <w:r w:rsidRPr="00D10C04">
        <w:rPr>
          <w:rFonts w:cs="Arial"/>
          <w:bCs/>
          <w:kern w:val="32"/>
          <w:szCs w:val="32"/>
        </w:rPr>
        <w:t xml:space="preserve">as </w:t>
      </w:r>
      <w:r>
        <w:rPr>
          <w:rFonts w:cs="Arial"/>
          <w:bCs/>
          <w:kern w:val="32"/>
          <w:szCs w:val="32"/>
        </w:rPr>
        <w:t xml:space="preserve"> resulted in a slow start for this project</w:t>
      </w:r>
      <w:r w:rsidRPr="00D10C04">
        <w:rPr>
          <w:rFonts w:cs="Arial"/>
          <w:bCs/>
          <w:kern w:val="32"/>
          <w:szCs w:val="32"/>
        </w:rPr>
        <w:t xml:space="preserve">. </w:t>
      </w:r>
    </w:p>
    <w:p w:rsidR="00F3582A" w:rsidRDefault="00F3582A" w:rsidP="00F43333">
      <w:pPr>
        <w:numPr>
          <w:ilvl w:val="0"/>
          <w:numId w:val="9"/>
        </w:numPr>
        <w:spacing w:after="240"/>
        <w:ind w:hanging="720"/>
        <w:rPr>
          <w:rFonts w:cs="Arial"/>
          <w:bCs/>
          <w:kern w:val="32"/>
          <w:szCs w:val="32"/>
        </w:rPr>
      </w:pPr>
      <w:r>
        <w:rPr>
          <w:rFonts w:cs="Arial"/>
          <w:bCs/>
          <w:kern w:val="32"/>
          <w:szCs w:val="32"/>
        </w:rPr>
        <w:t>Green Deal Communities</w:t>
      </w:r>
      <w:r w:rsidRPr="006B1DE1">
        <w:rPr>
          <w:rFonts w:cs="Arial"/>
          <w:bCs/>
          <w:kern w:val="32"/>
          <w:szCs w:val="32"/>
        </w:rPr>
        <w:t>- Grant payments to private residents for warmer homes and energy saving insulation, grant funded from the Department of Energy and Climate Change, the initiative is not now going to proceed and the grant monies are to be returned to the grant provider. No incremental staff resources were allocated therefore there is no revenue impact to c</w:t>
      </w:r>
      <w:r w:rsidR="00AC0BB3">
        <w:rPr>
          <w:rFonts w:cs="Arial"/>
          <w:bCs/>
          <w:kern w:val="32"/>
          <w:szCs w:val="32"/>
        </w:rPr>
        <w:t>urtailment of the scheme (£1.3</w:t>
      </w:r>
      <w:r w:rsidR="00D10C04">
        <w:rPr>
          <w:rFonts w:cs="Arial"/>
          <w:bCs/>
          <w:kern w:val="32"/>
          <w:szCs w:val="32"/>
        </w:rPr>
        <w:t>48</w:t>
      </w:r>
      <w:r w:rsidRPr="006B1DE1">
        <w:rPr>
          <w:rFonts w:cs="Arial"/>
          <w:bCs/>
          <w:kern w:val="32"/>
          <w:szCs w:val="32"/>
        </w:rPr>
        <w:t>m).</w:t>
      </w:r>
    </w:p>
    <w:p w:rsidR="002E14DC" w:rsidRPr="00F3582A" w:rsidRDefault="002E14DC" w:rsidP="00741AEB">
      <w:pPr>
        <w:spacing w:after="240"/>
        <w:rPr>
          <w:b/>
          <w:u w:val="single"/>
        </w:rPr>
      </w:pPr>
      <w:r w:rsidRPr="00F3582A">
        <w:rPr>
          <w:b/>
          <w:u w:val="single"/>
        </w:rPr>
        <w:t>PEOPLE</w:t>
      </w:r>
    </w:p>
    <w:p w:rsidR="00410EE1" w:rsidRPr="006B1DE1" w:rsidRDefault="00410EE1" w:rsidP="00F43333">
      <w:pPr>
        <w:numPr>
          <w:ilvl w:val="0"/>
          <w:numId w:val="9"/>
        </w:numPr>
        <w:spacing w:after="240"/>
        <w:ind w:hanging="720"/>
        <w:rPr>
          <w:rFonts w:cs="Arial"/>
          <w:bCs/>
          <w:kern w:val="32"/>
          <w:szCs w:val="32"/>
        </w:rPr>
      </w:pPr>
      <w:r>
        <w:rPr>
          <w:rFonts w:cs="Arial"/>
          <w:bCs/>
          <w:kern w:val="32"/>
          <w:szCs w:val="32"/>
        </w:rPr>
        <w:t>At Quarte</w:t>
      </w:r>
      <w:r w:rsidR="00AC0BB3">
        <w:rPr>
          <w:rFonts w:cs="Arial"/>
          <w:bCs/>
          <w:kern w:val="32"/>
          <w:szCs w:val="32"/>
        </w:rPr>
        <w:t>r 3 the forecast spend is £52.854m, 80</w:t>
      </w:r>
      <w:r w:rsidRPr="006B1DE1">
        <w:rPr>
          <w:rFonts w:cs="Arial"/>
          <w:bCs/>
          <w:kern w:val="32"/>
          <w:szCs w:val="32"/>
        </w:rPr>
        <w:t>% of the 2015</w:t>
      </w:r>
      <w:r w:rsidR="00F4466E">
        <w:rPr>
          <w:rFonts w:cs="Arial"/>
          <w:bCs/>
          <w:kern w:val="32"/>
          <w:szCs w:val="32"/>
        </w:rPr>
        <w:t>/16 People</w:t>
      </w:r>
      <w:r w:rsidRPr="006B1DE1">
        <w:rPr>
          <w:rFonts w:cs="Arial"/>
          <w:bCs/>
          <w:kern w:val="32"/>
          <w:szCs w:val="32"/>
        </w:rPr>
        <w:t>’s directorate capital budget.</w:t>
      </w:r>
      <w:r>
        <w:rPr>
          <w:rFonts w:cs="Arial"/>
          <w:bCs/>
          <w:kern w:val="32"/>
          <w:szCs w:val="32"/>
        </w:rPr>
        <w:t xml:space="preserve"> </w:t>
      </w:r>
    </w:p>
    <w:p w:rsidR="00410EE1" w:rsidRPr="006B1DE1" w:rsidRDefault="00410EE1" w:rsidP="00F43333">
      <w:pPr>
        <w:numPr>
          <w:ilvl w:val="0"/>
          <w:numId w:val="9"/>
        </w:numPr>
        <w:spacing w:after="240"/>
        <w:ind w:hanging="720"/>
        <w:rPr>
          <w:rFonts w:cs="Arial"/>
          <w:bCs/>
          <w:kern w:val="32"/>
          <w:szCs w:val="32"/>
        </w:rPr>
      </w:pPr>
      <w:r w:rsidRPr="006B1DE1">
        <w:rPr>
          <w:rFonts w:cs="Arial"/>
          <w:bCs/>
          <w:kern w:val="32"/>
          <w:szCs w:val="32"/>
        </w:rPr>
        <w:t>The forecast under spend is £</w:t>
      </w:r>
      <w:r w:rsidR="00AA2609">
        <w:rPr>
          <w:rFonts w:cs="Arial"/>
          <w:bCs/>
          <w:kern w:val="32"/>
          <w:szCs w:val="32"/>
        </w:rPr>
        <w:t>12.852</w:t>
      </w:r>
      <w:r w:rsidR="00F4466E">
        <w:rPr>
          <w:rFonts w:cs="Arial"/>
          <w:bCs/>
          <w:kern w:val="32"/>
          <w:szCs w:val="32"/>
        </w:rPr>
        <w:t>m</w:t>
      </w:r>
      <w:r w:rsidRPr="006B1DE1">
        <w:rPr>
          <w:rFonts w:cs="Arial"/>
          <w:bCs/>
          <w:kern w:val="32"/>
          <w:szCs w:val="32"/>
        </w:rPr>
        <w:t xml:space="preserve"> of which £</w:t>
      </w:r>
      <w:r w:rsidR="004922C6">
        <w:rPr>
          <w:rFonts w:cs="Arial"/>
          <w:bCs/>
          <w:kern w:val="32"/>
          <w:szCs w:val="32"/>
        </w:rPr>
        <w:t>1</w:t>
      </w:r>
      <w:r w:rsidR="008D67D6">
        <w:rPr>
          <w:rFonts w:cs="Arial"/>
          <w:bCs/>
          <w:kern w:val="32"/>
          <w:szCs w:val="32"/>
        </w:rPr>
        <w:t>2.</w:t>
      </w:r>
      <w:r w:rsidR="00AA2609">
        <w:rPr>
          <w:rFonts w:cs="Arial"/>
          <w:bCs/>
          <w:kern w:val="32"/>
          <w:szCs w:val="32"/>
        </w:rPr>
        <w:t>852</w:t>
      </w:r>
      <w:r w:rsidR="008D67D6">
        <w:rPr>
          <w:rFonts w:cs="Arial"/>
          <w:bCs/>
          <w:kern w:val="32"/>
          <w:szCs w:val="32"/>
        </w:rPr>
        <w:t xml:space="preserve">m </w:t>
      </w:r>
      <w:r w:rsidR="008D67D6" w:rsidRPr="006B1DE1">
        <w:rPr>
          <w:rFonts w:cs="Arial"/>
          <w:bCs/>
          <w:kern w:val="32"/>
          <w:szCs w:val="32"/>
        </w:rPr>
        <w:t>will</w:t>
      </w:r>
      <w:r w:rsidRPr="006B1DE1">
        <w:rPr>
          <w:rFonts w:cs="Arial"/>
          <w:bCs/>
          <w:kern w:val="32"/>
          <w:szCs w:val="32"/>
        </w:rPr>
        <w:t xml:space="preserve"> be slipped to 2016-17 and £</w:t>
      </w:r>
      <w:r w:rsidR="009D4C10">
        <w:rPr>
          <w:rFonts w:cs="Arial"/>
          <w:bCs/>
          <w:kern w:val="32"/>
          <w:szCs w:val="32"/>
        </w:rPr>
        <w:t>2</w:t>
      </w:r>
      <w:r w:rsidR="00F4466E">
        <w:rPr>
          <w:rFonts w:cs="Arial"/>
          <w:bCs/>
          <w:kern w:val="32"/>
          <w:szCs w:val="32"/>
        </w:rPr>
        <w:t>13</w:t>
      </w:r>
      <w:r w:rsidRPr="006B1DE1">
        <w:rPr>
          <w:rFonts w:cs="Arial"/>
          <w:bCs/>
          <w:kern w:val="32"/>
          <w:szCs w:val="32"/>
        </w:rPr>
        <w:t>k is no longer needed. The main items of slippage are detailed below:</w:t>
      </w:r>
    </w:p>
    <w:p w:rsidR="002E14DC" w:rsidRDefault="00410EE1" w:rsidP="002E14DC">
      <w:pPr>
        <w:keepNext/>
        <w:spacing w:after="240"/>
        <w:outlineLvl w:val="1"/>
        <w:rPr>
          <w:rFonts w:cs="Arial"/>
          <w:b/>
          <w:bCs/>
          <w:kern w:val="32"/>
          <w:szCs w:val="32"/>
          <w:u w:val="single"/>
        </w:rPr>
      </w:pPr>
      <w:r>
        <w:rPr>
          <w:rFonts w:cs="Arial"/>
          <w:b/>
          <w:bCs/>
          <w:kern w:val="32"/>
          <w:szCs w:val="32"/>
          <w:u w:val="single"/>
        </w:rPr>
        <w:t>Adu</w:t>
      </w:r>
      <w:r w:rsidR="002E14DC">
        <w:rPr>
          <w:rFonts w:cs="Arial"/>
          <w:b/>
          <w:bCs/>
          <w:kern w:val="32"/>
          <w:szCs w:val="32"/>
          <w:u w:val="single"/>
        </w:rPr>
        <w:t>lts</w:t>
      </w:r>
    </w:p>
    <w:p w:rsidR="00885435" w:rsidRDefault="00AA2609" w:rsidP="00F43333">
      <w:pPr>
        <w:numPr>
          <w:ilvl w:val="0"/>
          <w:numId w:val="9"/>
        </w:numPr>
        <w:spacing w:after="240"/>
        <w:ind w:hanging="720"/>
        <w:rPr>
          <w:rFonts w:cs="Arial"/>
          <w:bCs/>
          <w:kern w:val="32"/>
          <w:szCs w:val="32"/>
        </w:rPr>
      </w:pPr>
      <w:r>
        <w:rPr>
          <w:rFonts w:cs="Arial"/>
          <w:bCs/>
          <w:kern w:val="32"/>
          <w:szCs w:val="32"/>
        </w:rPr>
        <w:t xml:space="preserve">At Quarter 3 the forecast spent is £721k, </w:t>
      </w:r>
      <w:r w:rsidR="00824C92">
        <w:rPr>
          <w:rFonts w:cs="Arial"/>
          <w:bCs/>
          <w:kern w:val="32"/>
          <w:szCs w:val="32"/>
        </w:rPr>
        <w:t>1</w:t>
      </w:r>
      <w:r>
        <w:rPr>
          <w:rFonts w:cs="Arial"/>
          <w:bCs/>
          <w:kern w:val="32"/>
          <w:szCs w:val="32"/>
        </w:rPr>
        <w:t>8</w:t>
      </w:r>
      <w:r w:rsidR="00824C92">
        <w:rPr>
          <w:rFonts w:cs="Arial"/>
          <w:bCs/>
          <w:kern w:val="32"/>
          <w:szCs w:val="32"/>
        </w:rPr>
        <w:t>% of the approved capital programme.</w:t>
      </w:r>
    </w:p>
    <w:p w:rsidR="002E14DC" w:rsidRPr="006B1DE1" w:rsidRDefault="002E14DC" w:rsidP="00F43333">
      <w:pPr>
        <w:numPr>
          <w:ilvl w:val="0"/>
          <w:numId w:val="9"/>
        </w:numPr>
        <w:spacing w:after="240"/>
        <w:ind w:hanging="720"/>
        <w:rPr>
          <w:rFonts w:cs="Arial"/>
          <w:bCs/>
          <w:kern w:val="32"/>
          <w:szCs w:val="32"/>
        </w:rPr>
      </w:pPr>
      <w:r w:rsidRPr="006B1DE1">
        <w:rPr>
          <w:rFonts w:cs="Arial"/>
          <w:bCs/>
          <w:kern w:val="32"/>
          <w:szCs w:val="32"/>
        </w:rPr>
        <w:t>Th</w:t>
      </w:r>
      <w:r w:rsidR="00AA2609">
        <w:rPr>
          <w:rFonts w:cs="Arial"/>
          <w:bCs/>
          <w:kern w:val="32"/>
          <w:szCs w:val="32"/>
        </w:rPr>
        <w:t>e directorate variance is £3.2</w:t>
      </w:r>
      <w:r w:rsidR="00F4466E">
        <w:rPr>
          <w:rFonts w:cs="Arial"/>
          <w:bCs/>
          <w:kern w:val="32"/>
          <w:szCs w:val="32"/>
        </w:rPr>
        <w:t>82</w:t>
      </w:r>
      <w:r w:rsidR="00D10C04">
        <w:rPr>
          <w:rFonts w:cs="Arial"/>
          <w:bCs/>
          <w:kern w:val="32"/>
          <w:szCs w:val="32"/>
        </w:rPr>
        <w:t>m of which £3.069</w:t>
      </w:r>
      <w:r w:rsidR="00F4466E">
        <w:rPr>
          <w:rFonts w:cs="Arial"/>
          <w:bCs/>
          <w:kern w:val="32"/>
          <w:szCs w:val="32"/>
        </w:rPr>
        <w:t>m is slippage and £</w:t>
      </w:r>
      <w:r w:rsidR="009D4C10">
        <w:rPr>
          <w:rFonts w:cs="Arial"/>
          <w:bCs/>
          <w:kern w:val="32"/>
          <w:szCs w:val="32"/>
        </w:rPr>
        <w:t>2</w:t>
      </w:r>
      <w:r w:rsidR="00F4466E">
        <w:rPr>
          <w:rFonts w:cs="Arial"/>
          <w:bCs/>
          <w:kern w:val="32"/>
          <w:szCs w:val="32"/>
        </w:rPr>
        <w:t>13k</w:t>
      </w:r>
      <w:r w:rsidRPr="006B1DE1">
        <w:rPr>
          <w:rFonts w:cs="Arial"/>
          <w:bCs/>
          <w:kern w:val="32"/>
          <w:szCs w:val="32"/>
        </w:rPr>
        <w:t xml:space="preserve"> </w:t>
      </w:r>
      <w:r w:rsidR="00F4466E" w:rsidRPr="006B1DE1">
        <w:rPr>
          <w:rFonts w:cs="Arial"/>
          <w:bCs/>
          <w:kern w:val="32"/>
          <w:szCs w:val="32"/>
        </w:rPr>
        <w:t>underspends</w:t>
      </w:r>
      <w:r w:rsidRPr="006B1DE1">
        <w:rPr>
          <w:rFonts w:cs="Arial"/>
          <w:bCs/>
          <w:kern w:val="32"/>
          <w:szCs w:val="32"/>
        </w:rPr>
        <w:t>.</w:t>
      </w:r>
    </w:p>
    <w:p w:rsidR="002E14DC" w:rsidRPr="006B1DE1" w:rsidRDefault="002E14DC" w:rsidP="00F43333">
      <w:pPr>
        <w:numPr>
          <w:ilvl w:val="0"/>
          <w:numId w:val="9"/>
        </w:numPr>
        <w:spacing w:after="240"/>
        <w:ind w:hanging="720"/>
        <w:rPr>
          <w:rFonts w:cs="Arial"/>
          <w:bCs/>
          <w:kern w:val="32"/>
          <w:szCs w:val="32"/>
        </w:rPr>
      </w:pPr>
      <w:r w:rsidRPr="006B1DE1">
        <w:rPr>
          <w:rFonts w:cs="Arial"/>
          <w:bCs/>
          <w:kern w:val="32"/>
          <w:szCs w:val="32"/>
        </w:rPr>
        <w:t>The following schemes in the programme will be slipped for the following reasons:</w:t>
      </w:r>
    </w:p>
    <w:p w:rsidR="00E45D9C" w:rsidRPr="006B1DE1" w:rsidRDefault="00E45D9C" w:rsidP="00F43333">
      <w:pPr>
        <w:numPr>
          <w:ilvl w:val="0"/>
          <w:numId w:val="9"/>
        </w:numPr>
        <w:spacing w:after="240"/>
        <w:ind w:hanging="720"/>
        <w:rPr>
          <w:rFonts w:cs="Arial"/>
          <w:bCs/>
          <w:kern w:val="32"/>
          <w:szCs w:val="32"/>
        </w:rPr>
      </w:pPr>
      <w:r w:rsidRPr="006B1DE1">
        <w:rPr>
          <w:rFonts w:cs="Arial"/>
          <w:bCs/>
          <w:kern w:val="32"/>
          <w:szCs w:val="32"/>
        </w:rPr>
        <w:t>MOSAIC Implementation - Once new IT provider has started, it will be possible to firm up spend projections, however as this is not due to take place until later in the financial year, only 50% is forec</w:t>
      </w:r>
      <w:r w:rsidR="001854AD">
        <w:rPr>
          <w:rFonts w:cs="Arial"/>
          <w:bCs/>
          <w:kern w:val="32"/>
          <w:szCs w:val="32"/>
        </w:rPr>
        <w:t>ast to be spent by year end  (£4</w:t>
      </w:r>
      <w:r w:rsidRPr="006B1DE1">
        <w:rPr>
          <w:rFonts w:cs="Arial"/>
          <w:bCs/>
          <w:kern w:val="32"/>
          <w:szCs w:val="32"/>
        </w:rPr>
        <w:t xml:space="preserve">05k) </w:t>
      </w:r>
    </w:p>
    <w:p w:rsidR="00E45D9C" w:rsidRPr="006B1DE1" w:rsidRDefault="00E45D9C" w:rsidP="00F43333">
      <w:pPr>
        <w:numPr>
          <w:ilvl w:val="0"/>
          <w:numId w:val="9"/>
        </w:numPr>
        <w:spacing w:after="240"/>
        <w:ind w:hanging="720"/>
        <w:rPr>
          <w:rFonts w:cs="Arial"/>
          <w:bCs/>
          <w:kern w:val="32"/>
          <w:szCs w:val="32"/>
        </w:rPr>
      </w:pPr>
      <w:r w:rsidRPr="006B1DE1">
        <w:rPr>
          <w:rFonts w:cs="Arial"/>
          <w:bCs/>
          <w:kern w:val="32"/>
          <w:szCs w:val="32"/>
        </w:rPr>
        <w:t>Remodelling and Refurbishment of Adult Residential and day Care properties – There is limited programme planned for Remodelling and Refurbishment this</w:t>
      </w:r>
      <w:r w:rsidR="007C4B86">
        <w:rPr>
          <w:rFonts w:cs="Arial"/>
          <w:bCs/>
          <w:kern w:val="32"/>
          <w:szCs w:val="32"/>
        </w:rPr>
        <w:t xml:space="preserve"> year, therefore slippage of (£</w:t>
      </w:r>
      <w:r w:rsidR="009D4C10">
        <w:rPr>
          <w:rFonts w:cs="Arial"/>
          <w:bCs/>
          <w:kern w:val="32"/>
          <w:szCs w:val="32"/>
        </w:rPr>
        <w:t>4</w:t>
      </w:r>
      <w:r w:rsidRPr="006B1DE1">
        <w:rPr>
          <w:rFonts w:cs="Arial"/>
          <w:bCs/>
          <w:kern w:val="32"/>
          <w:szCs w:val="32"/>
        </w:rPr>
        <w:t>22k) – The revenue implication of this is a risk of additional maintenance cost on ageing buildings.</w:t>
      </w:r>
    </w:p>
    <w:p w:rsidR="00E45D9C" w:rsidRDefault="00E45D9C" w:rsidP="00F43333">
      <w:pPr>
        <w:numPr>
          <w:ilvl w:val="0"/>
          <w:numId w:val="9"/>
        </w:numPr>
        <w:spacing w:after="240"/>
        <w:ind w:hanging="720"/>
        <w:rPr>
          <w:rFonts w:cs="Arial"/>
          <w:bCs/>
          <w:kern w:val="32"/>
          <w:szCs w:val="32"/>
        </w:rPr>
      </w:pPr>
      <w:r w:rsidRPr="006B1DE1">
        <w:rPr>
          <w:rFonts w:cs="Arial"/>
          <w:bCs/>
          <w:kern w:val="32"/>
          <w:szCs w:val="32"/>
        </w:rPr>
        <w:t xml:space="preserve">Safeguarding Quality Assurance Quadrants (QAQ) - Planned programme of spend in year relates to server upgrade, this is dependent on work load of the new IT contractor and therefore it is </w:t>
      </w:r>
      <w:r w:rsidRPr="006B1DE1">
        <w:rPr>
          <w:rFonts w:cs="Arial"/>
          <w:bCs/>
          <w:kern w:val="32"/>
          <w:szCs w:val="32"/>
        </w:rPr>
        <w:lastRenderedPageBreak/>
        <w:t>estimated th</w:t>
      </w:r>
      <w:r w:rsidR="00F4466E">
        <w:rPr>
          <w:rFonts w:cs="Arial"/>
          <w:bCs/>
          <w:kern w:val="32"/>
          <w:szCs w:val="32"/>
        </w:rPr>
        <w:t>at there will be slippage of (£16</w:t>
      </w:r>
      <w:r w:rsidRPr="006B1DE1">
        <w:rPr>
          <w:rFonts w:cs="Arial"/>
          <w:bCs/>
          <w:kern w:val="32"/>
          <w:szCs w:val="32"/>
        </w:rPr>
        <w:t>8k). No direct revenue implication.</w:t>
      </w:r>
    </w:p>
    <w:p w:rsidR="00E45D9C" w:rsidRPr="006B1DE1" w:rsidRDefault="00E45D9C" w:rsidP="00F43333">
      <w:pPr>
        <w:numPr>
          <w:ilvl w:val="0"/>
          <w:numId w:val="9"/>
        </w:numPr>
        <w:spacing w:after="240"/>
        <w:ind w:hanging="720"/>
        <w:rPr>
          <w:rFonts w:cs="Arial"/>
          <w:bCs/>
          <w:kern w:val="32"/>
          <w:szCs w:val="32"/>
        </w:rPr>
      </w:pPr>
      <w:r w:rsidRPr="006B1DE1">
        <w:rPr>
          <w:rFonts w:cs="Arial"/>
          <w:bCs/>
          <w:kern w:val="32"/>
          <w:szCs w:val="32"/>
        </w:rPr>
        <w:t xml:space="preserve">Integrated Health Model – Planned spend on N3 connections. Connections relate to integration between Adult Social care and the NHS, reviewing of service team needs. As the project is in its early stages, it is anticipated that the majority of the budget will be slipped </w:t>
      </w:r>
      <w:r w:rsidR="00F4466E">
        <w:rPr>
          <w:rFonts w:cs="Arial"/>
          <w:bCs/>
          <w:kern w:val="32"/>
          <w:szCs w:val="32"/>
        </w:rPr>
        <w:t>into future financial years (£47</w:t>
      </w:r>
      <w:r w:rsidRPr="006B1DE1">
        <w:rPr>
          <w:rFonts w:cs="Arial"/>
          <w:bCs/>
          <w:kern w:val="32"/>
          <w:szCs w:val="32"/>
        </w:rPr>
        <w:t>2k). No quantifiable revenue implication, although greater co-ordination between NHS and Adult Services may bring efficiencies.</w:t>
      </w:r>
    </w:p>
    <w:p w:rsidR="00E45D9C" w:rsidRPr="006B1DE1" w:rsidRDefault="00E45D9C" w:rsidP="00F43333">
      <w:pPr>
        <w:numPr>
          <w:ilvl w:val="0"/>
          <w:numId w:val="9"/>
        </w:numPr>
        <w:spacing w:after="240"/>
        <w:ind w:hanging="720"/>
        <w:rPr>
          <w:rFonts w:cs="Arial"/>
          <w:bCs/>
          <w:kern w:val="32"/>
          <w:szCs w:val="32"/>
        </w:rPr>
      </w:pPr>
      <w:r w:rsidRPr="006B1DE1">
        <w:rPr>
          <w:rFonts w:cs="Arial"/>
          <w:bCs/>
          <w:kern w:val="32"/>
          <w:szCs w:val="32"/>
        </w:rPr>
        <w:t>Market Shaping &amp; Development – Relates to Care Act duty and collation of business intelligence for providers through IT. Planned programme of wo</w:t>
      </w:r>
      <w:r w:rsidR="00BA3E2F">
        <w:rPr>
          <w:rFonts w:cs="Arial"/>
          <w:bCs/>
          <w:kern w:val="32"/>
          <w:szCs w:val="32"/>
        </w:rPr>
        <w:t xml:space="preserve">rk for the year is (£100k) together with </w:t>
      </w:r>
      <w:r w:rsidR="008D67D6">
        <w:rPr>
          <w:rFonts w:cs="Arial"/>
          <w:bCs/>
          <w:kern w:val="32"/>
          <w:szCs w:val="32"/>
        </w:rPr>
        <w:t xml:space="preserve">the </w:t>
      </w:r>
      <w:r w:rsidR="008D67D6" w:rsidRPr="006B1DE1">
        <w:rPr>
          <w:rFonts w:cs="Arial"/>
          <w:bCs/>
          <w:kern w:val="32"/>
          <w:szCs w:val="32"/>
        </w:rPr>
        <w:t>remaining</w:t>
      </w:r>
      <w:r w:rsidRPr="006B1DE1">
        <w:rPr>
          <w:rFonts w:cs="Arial"/>
          <w:bCs/>
          <w:kern w:val="32"/>
          <w:szCs w:val="32"/>
        </w:rPr>
        <w:t xml:space="preserve"> </w:t>
      </w:r>
      <w:r w:rsidR="00F4466E">
        <w:rPr>
          <w:rFonts w:cs="Arial"/>
          <w:bCs/>
          <w:kern w:val="32"/>
          <w:szCs w:val="32"/>
        </w:rPr>
        <w:t>(</w:t>
      </w:r>
      <w:r w:rsidRPr="006B1DE1">
        <w:rPr>
          <w:rFonts w:cs="Arial"/>
          <w:bCs/>
          <w:kern w:val="32"/>
          <w:szCs w:val="32"/>
        </w:rPr>
        <w:t>£150k</w:t>
      </w:r>
      <w:r w:rsidR="00F4466E">
        <w:rPr>
          <w:rFonts w:cs="Arial"/>
          <w:bCs/>
          <w:kern w:val="32"/>
          <w:szCs w:val="32"/>
        </w:rPr>
        <w:t>)</w:t>
      </w:r>
      <w:r w:rsidRPr="006B1DE1">
        <w:rPr>
          <w:rFonts w:cs="Arial"/>
          <w:bCs/>
          <w:kern w:val="32"/>
          <w:szCs w:val="32"/>
        </w:rPr>
        <w:t xml:space="preserve"> is to be slipped. There is no direct revenue implication.</w:t>
      </w:r>
    </w:p>
    <w:p w:rsidR="00E45D9C" w:rsidRDefault="00E45D9C" w:rsidP="00F43333">
      <w:pPr>
        <w:numPr>
          <w:ilvl w:val="0"/>
          <w:numId w:val="9"/>
        </w:numPr>
        <w:spacing w:after="240"/>
        <w:ind w:hanging="720"/>
        <w:rPr>
          <w:rFonts w:cs="Arial"/>
          <w:bCs/>
          <w:kern w:val="32"/>
          <w:szCs w:val="32"/>
        </w:rPr>
      </w:pPr>
      <w:r w:rsidRPr="006B1DE1">
        <w:rPr>
          <w:rFonts w:cs="Arial"/>
          <w:bCs/>
          <w:kern w:val="32"/>
          <w:szCs w:val="32"/>
        </w:rPr>
        <w:t xml:space="preserve">Maintenance of Adults Properties – This budget is unlikely to be spent in year and the entire budget of </w:t>
      </w:r>
      <w:r w:rsidR="00F4466E">
        <w:rPr>
          <w:rFonts w:cs="Arial"/>
          <w:bCs/>
          <w:kern w:val="32"/>
          <w:szCs w:val="32"/>
        </w:rPr>
        <w:t>(</w:t>
      </w:r>
      <w:r w:rsidR="00BA3E2F">
        <w:rPr>
          <w:rFonts w:cs="Arial"/>
          <w:bCs/>
          <w:kern w:val="32"/>
          <w:szCs w:val="32"/>
        </w:rPr>
        <w:t>£149</w:t>
      </w:r>
      <w:r w:rsidRPr="006B1DE1">
        <w:rPr>
          <w:rFonts w:cs="Arial"/>
          <w:bCs/>
          <w:kern w:val="32"/>
          <w:szCs w:val="32"/>
        </w:rPr>
        <w:t>k</w:t>
      </w:r>
      <w:r w:rsidR="00F4466E">
        <w:rPr>
          <w:rFonts w:cs="Arial"/>
          <w:bCs/>
          <w:kern w:val="32"/>
          <w:szCs w:val="32"/>
        </w:rPr>
        <w:t>)</w:t>
      </w:r>
      <w:r w:rsidRPr="006B1DE1">
        <w:rPr>
          <w:rFonts w:cs="Arial"/>
          <w:bCs/>
          <w:kern w:val="32"/>
          <w:szCs w:val="32"/>
        </w:rPr>
        <w:t xml:space="preserve"> is currently forecast to be slipped. This is effectively a contingency budget. No further revenue implication is forecast, as underspend against budget has already been forecast against remodelling and refurbishment of residential and day care properties.</w:t>
      </w:r>
    </w:p>
    <w:p w:rsidR="00723B7F" w:rsidRDefault="00BA3E2F" w:rsidP="00F43333">
      <w:pPr>
        <w:numPr>
          <w:ilvl w:val="0"/>
          <w:numId w:val="9"/>
        </w:numPr>
        <w:spacing w:after="240"/>
        <w:ind w:hanging="720"/>
        <w:rPr>
          <w:rFonts w:cs="Arial"/>
          <w:bCs/>
          <w:kern w:val="32"/>
          <w:szCs w:val="32"/>
        </w:rPr>
      </w:pPr>
      <w:r w:rsidRPr="00374CD9">
        <w:rPr>
          <w:rFonts w:cs="Arial"/>
          <w:bCs/>
          <w:kern w:val="32"/>
          <w:szCs w:val="32"/>
        </w:rPr>
        <w:t xml:space="preserve">Quality Outcome for People with Dementia </w:t>
      </w:r>
      <w:r w:rsidR="009D4C10">
        <w:rPr>
          <w:rFonts w:cs="Arial"/>
          <w:bCs/>
          <w:kern w:val="32"/>
          <w:szCs w:val="32"/>
        </w:rPr>
        <w:t>(</w:t>
      </w:r>
      <w:r w:rsidR="00723B7F">
        <w:rPr>
          <w:rFonts w:cs="Arial"/>
          <w:bCs/>
          <w:kern w:val="32"/>
          <w:szCs w:val="32"/>
        </w:rPr>
        <w:t>£150k</w:t>
      </w:r>
      <w:r w:rsidR="009D4C10">
        <w:rPr>
          <w:rFonts w:cs="Arial"/>
          <w:bCs/>
          <w:kern w:val="32"/>
          <w:szCs w:val="32"/>
        </w:rPr>
        <w:t>)</w:t>
      </w:r>
      <w:r w:rsidR="00723B7F">
        <w:rPr>
          <w:rFonts w:cs="Arial"/>
          <w:bCs/>
          <w:kern w:val="32"/>
          <w:szCs w:val="32"/>
        </w:rPr>
        <w:t xml:space="preserve"> slippage.  This is a result of delays in developing detailed proposals for the project.</w:t>
      </w:r>
    </w:p>
    <w:p w:rsidR="007C4B86" w:rsidRDefault="00723B7F" w:rsidP="00F43333">
      <w:pPr>
        <w:numPr>
          <w:ilvl w:val="0"/>
          <w:numId w:val="9"/>
        </w:numPr>
        <w:spacing w:after="240"/>
        <w:ind w:hanging="720"/>
        <w:rPr>
          <w:rFonts w:cs="Arial"/>
          <w:bCs/>
          <w:kern w:val="32"/>
          <w:szCs w:val="32"/>
        </w:rPr>
      </w:pPr>
      <w:r w:rsidRPr="007C4B86">
        <w:rPr>
          <w:rFonts w:cs="Arial"/>
          <w:bCs/>
          <w:kern w:val="32"/>
          <w:szCs w:val="32"/>
        </w:rPr>
        <w:t xml:space="preserve"> </w:t>
      </w:r>
      <w:r w:rsidR="008D67D6" w:rsidRPr="007C4B86">
        <w:rPr>
          <w:rFonts w:cs="Arial"/>
          <w:bCs/>
          <w:kern w:val="32"/>
          <w:szCs w:val="32"/>
        </w:rPr>
        <w:t xml:space="preserve">Reform Of Social Care Funding - Some software cost has been forecast, the remaining budget will be slipped into next financial year. </w:t>
      </w:r>
      <w:r w:rsidR="007C4B86" w:rsidRPr="007C4B86">
        <w:rPr>
          <w:rFonts w:cs="Arial"/>
          <w:bCs/>
          <w:kern w:val="32"/>
          <w:szCs w:val="32"/>
        </w:rPr>
        <w:t>(£755k)</w:t>
      </w:r>
      <w:r w:rsidR="007C4B86">
        <w:rPr>
          <w:rFonts w:cs="Arial"/>
          <w:bCs/>
          <w:kern w:val="32"/>
          <w:szCs w:val="32"/>
        </w:rPr>
        <w:t>.</w:t>
      </w:r>
    </w:p>
    <w:p w:rsidR="00AF135A" w:rsidRDefault="00AF135A" w:rsidP="00F43333">
      <w:pPr>
        <w:numPr>
          <w:ilvl w:val="0"/>
          <w:numId w:val="9"/>
        </w:numPr>
        <w:spacing w:after="240"/>
        <w:ind w:hanging="720"/>
        <w:rPr>
          <w:rFonts w:cs="Arial"/>
          <w:bCs/>
          <w:kern w:val="32"/>
          <w:szCs w:val="32"/>
        </w:rPr>
      </w:pPr>
      <w:r>
        <w:rPr>
          <w:rFonts w:cs="Arial"/>
          <w:bCs/>
          <w:kern w:val="32"/>
          <w:szCs w:val="32"/>
        </w:rPr>
        <w:t xml:space="preserve">Adult Social Care Integration of IT Systems – This project is expected to deliver a financial assessment module </w:t>
      </w:r>
      <w:r w:rsidR="008D67D6">
        <w:rPr>
          <w:rFonts w:cs="Arial"/>
          <w:bCs/>
          <w:kern w:val="32"/>
          <w:szCs w:val="32"/>
        </w:rPr>
        <w:t>i.e.</w:t>
      </w:r>
      <w:r>
        <w:rPr>
          <w:rFonts w:cs="Arial"/>
          <w:bCs/>
          <w:kern w:val="32"/>
          <w:szCs w:val="32"/>
        </w:rPr>
        <w:t xml:space="preserve"> means testing. Change request is to go to capital forum to facilitate the conversion of Core logic software. Budget of (£66k) will be slipped.</w:t>
      </w:r>
    </w:p>
    <w:p w:rsidR="007C4B86" w:rsidRPr="007C4B86" w:rsidRDefault="007C4B86" w:rsidP="00F43333">
      <w:pPr>
        <w:numPr>
          <w:ilvl w:val="0"/>
          <w:numId w:val="9"/>
        </w:numPr>
        <w:spacing w:after="240"/>
        <w:ind w:hanging="720"/>
        <w:rPr>
          <w:rFonts w:cs="Arial"/>
          <w:bCs/>
          <w:kern w:val="32"/>
          <w:szCs w:val="32"/>
        </w:rPr>
      </w:pPr>
      <w:r>
        <w:rPr>
          <w:rFonts w:cs="Arial"/>
          <w:bCs/>
          <w:kern w:val="32"/>
          <w:szCs w:val="32"/>
        </w:rPr>
        <w:t xml:space="preserve">Community Capacity Grant </w:t>
      </w:r>
      <w:proofErr w:type="gramStart"/>
      <w:r>
        <w:rPr>
          <w:rFonts w:cs="Arial"/>
          <w:bCs/>
          <w:kern w:val="32"/>
          <w:szCs w:val="32"/>
        </w:rPr>
        <w:t xml:space="preserve">-  </w:t>
      </w:r>
      <w:r w:rsidR="001A637F">
        <w:rPr>
          <w:rFonts w:cs="Arial"/>
          <w:bCs/>
          <w:kern w:val="32"/>
          <w:szCs w:val="32"/>
        </w:rPr>
        <w:t>Proposals</w:t>
      </w:r>
      <w:proofErr w:type="gramEnd"/>
      <w:r w:rsidR="001A637F">
        <w:rPr>
          <w:rFonts w:cs="Arial"/>
          <w:bCs/>
          <w:kern w:val="32"/>
          <w:szCs w:val="32"/>
        </w:rPr>
        <w:t xml:space="preserve"> to spend the grant are still being developed and it is anticipated that there will be no spend in the current year, giving slippage of </w:t>
      </w:r>
      <w:r w:rsidR="009D4C10">
        <w:rPr>
          <w:rFonts w:cs="Arial"/>
          <w:bCs/>
          <w:kern w:val="32"/>
          <w:szCs w:val="32"/>
        </w:rPr>
        <w:t>(</w:t>
      </w:r>
      <w:r w:rsidR="001A637F">
        <w:rPr>
          <w:rFonts w:cs="Arial"/>
          <w:bCs/>
          <w:kern w:val="32"/>
          <w:szCs w:val="32"/>
        </w:rPr>
        <w:t>£232k</w:t>
      </w:r>
      <w:r w:rsidR="009D4C10">
        <w:rPr>
          <w:rFonts w:cs="Arial"/>
          <w:bCs/>
          <w:kern w:val="32"/>
          <w:szCs w:val="32"/>
        </w:rPr>
        <w:t>)</w:t>
      </w:r>
      <w:r w:rsidR="001A637F">
        <w:rPr>
          <w:rFonts w:cs="Arial"/>
          <w:bCs/>
          <w:kern w:val="32"/>
          <w:szCs w:val="32"/>
        </w:rPr>
        <w:t>.</w:t>
      </w:r>
    </w:p>
    <w:p w:rsidR="00E45D9C" w:rsidRPr="006B1DE1" w:rsidRDefault="00E45D9C" w:rsidP="00F43333">
      <w:pPr>
        <w:numPr>
          <w:ilvl w:val="0"/>
          <w:numId w:val="9"/>
        </w:numPr>
        <w:spacing w:after="240"/>
        <w:ind w:hanging="720"/>
        <w:rPr>
          <w:rFonts w:cs="Arial"/>
          <w:bCs/>
          <w:kern w:val="32"/>
          <w:szCs w:val="32"/>
        </w:rPr>
      </w:pPr>
      <w:r w:rsidRPr="006B1DE1">
        <w:rPr>
          <w:rFonts w:cs="Arial"/>
          <w:bCs/>
          <w:kern w:val="32"/>
          <w:szCs w:val="32"/>
        </w:rPr>
        <w:t xml:space="preserve">In addition to the slippage above the following schemes are </w:t>
      </w:r>
      <w:r w:rsidR="00BA3E2F" w:rsidRPr="006B1DE1">
        <w:rPr>
          <w:rFonts w:cs="Arial"/>
          <w:bCs/>
          <w:kern w:val="32"/>
          <w:szCs w:val="32"/>
        </w:rPr>
        <w:t>under spending</w:t>
      </w:r>
      <w:r w:rsidRPr="006B1DE1">
        <w:rPr>
          <w:rFonts w:cs="Arial"/>
          <w:bCs/>
          <w:kern w:val="32"/>
          <w:szCs w:val="32"/>
        </w:rPr>
        <w:t>;</w:t>
      </w:r>
    </w:p>
    <w:p w:rsidR="00E45D9C" w:rsidRDefault="00E45D9C" w:rsidP="00F43333">
      <w:pPr>
        <w:numPr>
          <w:ilvl w:val="0"/>
          <w:numId w:val="9"/>
        </w:numPr>
        <w:spacing w:after="240"/>
        <w:ind w:hanging="720"/>
        <w:rPr>
          <w:rFonts w:cs="Arial"/>
          <w:bCs/>
          <w:kern w:val="32"/>
          <w:szCs w:val="32"/>
        </w:rPr>
      </w:pPr>
      <w:r w:rsidRPr="00E77F63">
        <w:rPr>
          <w:rFonts w:cs="Arial"/>
          <w:bCs/>
          <w:kern w:val="32"/>
          <w:szCs w:val="32"/>
        </w:rPr>
        <w:t>Carer’s Service charges (£200k) this is to be discontinued as work is no longer required against this project.</w:t>
      </w:r>
    </w:p>
    <w:p w:rsidR="00D81219" w:rsidRDefault="00D81219" w:rsidP="00F43333">
      <w:pPr>
        <w:numPr>
          <w:ilvl w:val="0"/>
          <w:numId w:val="9"/>
        </w:numPr>
        <w:spacing w:after="240"/>
        <w:ind w:hanging="720"/>
        <w:rPr>
          <w:rFonts w:cs="Arial"/>
          <w:bCs/>
          <w:kern w:val="32"/>
          <w:szCs w:val="32"/>
        </w:rPr>
      </w:pPr>
      <w:r>
        <w:rPr>
          <w:rFonts w:cs="Arial"/>
          <w:bCs/>
          <w:kern w:val="32"/>
          <w:szCs w:val="32"/>
        </w:rPr>
        <w:t xml:space="preserve">Mental Health Supported Housing Repair </w:t>
      </w:r>
      <w:r w:rsidR="001854AD">
        <w:rPr>
          <w:rFonts w:cs="Arial"/>
          <w:bCs/>
          <w:kern w:val="32"/>
          <w:szCs w:val="32"/>
        </w:rPr>
        <w:t>- This</w:t>
      </w:r>
      <w:r>
        <w:rPr>
          <w:rFonts w:cs="Arial"/>
          <w:bCs/>
          <w:kern w:val="32"/>
          <w:szCs w:val="32"/>
        </w:rPr>
        <w:t xml:space="preserve"> project</w:t>
      </w:r>
      <w:r w:rsidR="00A07300">
        <w:rPr>
          <w:rFonts w:cs="Arial"/>
          <w:bCs/>
          <w:kern w:val="32"/>
          <w:szCs w:val="32"/>
        </w:rPr>
        <w:t xml:space="preserve"> will be close</w:t>
      </w:r>
      <w:r w:rsidR="00717FA9">
        <w:rPr>
          <w:rFonts w:cs="Arial"/>
          <w:bCs/>
          <w:kern w:val="32"/>
          <w:szCs w:val="32"/>
        </w:rPr>
        <w:t>d</w:t>
      </w:r>
      <w:r w:rsidR="00A07300">
        <w:rPr>
          <w:rFonts w:cs="Arial"/>
          <w:bCs/>
          <w:kern w:val="32"/>
          <w:szCs w:val="32"/>
        </w:rPr>
        <w:t xml:space="preserve"> by year </w:t>
      </w:r>
      <w:r w:rsidR="00A10BDE">
        <w:rPr>
          <w:rFonts w:cs="Arial"/>
          <w:bCs/>
          <w:kern w:val="32"/>
          <w:szCs w:val="32"/>
        </w:rPr>
        <w:t>end,</w:t>
      </w:r>
      <w:r w:rsidR="00717FA9">
        <w:rPr>
          <w:rFonts w:cs="Arial"/>
          <w:bCs/>
          <w:kern w:val="32"/>
          <w:szCs w:val="32"/>
        </w:rPr>
        <w:t xml:space="preserve"> with no requirement to slip </w:t>
      </w:r>
      <w:proofErr w:type="gramStart"/>
      <w:r w:rsidR="00717FA9">
        <w:rPr>
          <w:rFonts w:cs="Arial"/>
          <w:bCs/>
          <w:kern w:val="32"/>
          <w:szCs w:val="32"/>
        </w:rPr>
        <w:t>the underspend</w:t>
      </w:r>
      <w:proofErr w:type="gramEnd"/>
      <w:r w:rsidR="00717FA9">
        <w:rPr>
          <w:rFonts w:cs="Arial"/>
          <w:bCs/>
          <w:kern w:val="32"/>
          <w:szCs w:val="32"/>
        </w:rPr>
        <w:t xml:space="preserve">. </w:t>
      </w:r>
      <w:r w:rsidR="008D67D6">
        <w:rPr>
          <w:rFonts w:cs="Arial"/>
          <w:bCs/>
          <w:kern w:val="32"/>
          <w:szCs w:val="32"/>
        </w:rPr>
        <w:t>(</w:t>
      </w:r>
      <w:r w:rsidR="00A07300">
        <w:rPr>
          <w:rFonts w:cs="Arial"/>
          <w:bCs/>
          <w:kern w:val="32"/>
          <w:szCs w:val="32"/>
        </w:rPr>
        <w:t>£13</w:t>
      </w:r>
      <w:r>
        <w:rPr>
          <w:rFonts w:cs="Arial"/>
          <w:bCs/>
          <w:kern w:val="32"/>
          <w:szCs w:val="32"/>
        </w:rPr>
        <w:t>k).</w:t>
      </w:r>
    </w:p>
    <w:p w:rsidR="002E14DC" w:rsidRPr="00AC55F8" w:rsidRDefault="002E14DC" w:rsidP="002E14DC">
      <w:pPr>
        <w:keepNext/>
        <w:spacing w:after="240"/>
        <w:outlineLvl w:val="1"/>
        <w:rPr>
          <w:rFonts w:cs="Arial"/>
          <w:b/>
          <w:bCs/>
          <w:kern w:val="32"/>
          <w:szCs w:val="32"/>
          <w:u w:val="single"/>
        </w:rPr>
      </w:pPr>
      <w:r w:rsidRPr="00AC55F8">
        <w:rPr>
          <w:rFonts w:cs="Arial"/>
          <w:b/>
          <w:bCs/>
          <w:kern w:val="32"/>
          <w:szCs w:val="32"/>
          <w:u w:val="single"/>
        </w:rPr>
        <w:t>Schools</w:t>
      </w:r>
    </w:p>
    <w:p w:rsidR="00D80B11" w:rsidRPr="00C6530C" w:rsidRDefault="00B842A2">
      <w:pPr>
        <w:numPr>
          <w:ilvl w:val="0"/>
          <w:numId w:val="9"/>
        </w:numPr>
        <w:spacing w:after="240"/>
        <w:ind w:hanging="720"/>
      </w:pPr>
      <w:r w:rsidRPr="00AC55F8">
        <w:rPr>
          <w:rFonts w:cs="Arial"/>
          <w:bCs/>
          <w:kern w:val="32"/>
          <w:szCs w:val="32"/>
        </w:rPr>
        <w:t>As at Quarter 3</w:t>
      </w:r>
      <w:r w:rsidR="00D04D30" w:rsidRPr="00AC55F8">
        <w:rPr>
          <w:rFonts w:cs="Arial"/>
          <w:bCs/>
          <w:kern w:val="32"/>
          <w:szCs w:val="32"/>
        </w:rPr>
        <w:t xml:space="preserve"> t</w:t>
      </w:r>
      <w:r w:rsidR="002E14DC" w:rsidRPr="00AC55F8">
        <w:rPr>
          <w:rFonts w:cs="Arial"/>
          <w:bCs/>
          <w:kern w:val="32"/>
          <w:szCs w:val="32"/>
        </w:rPr>
        <w:t xml:space="preserve">he forecast spend </w:t>
      </w:r>
      <w:r w:rsidRPr="00AC55F8">
        <w:rPr>
          <w:rFonts w:cs="Arial"/>
          <w:bCs/>
          <w:kern w:val="32"/>
          <w:szCs w:val="32"/>
        </w:rPr>
        <w:t>is</w:t>
      </w:r>
      <w:r w:rsidR="0046460C" w:rsidRPr="00AC55F8">
        <w:rPr>
          <w:rFonts w:cs="Arial"/>
          <w:bCs/>
          <w:kern w:val="32"/>
          <w:szCs w:val="32"/>
        </w:rPr>
        <w:t xml:space="preserve"> £52.134</w:t>
      </w:r>
      <w:r w:rsidR="002E14DC" w:rsidRPr="00AC55F8">
        <w:rPr>
          <w:rFonts w:cs="Arial"/>
          <w:bCs/>
          <w:kern w:val="32"/>
          <w:szCs w:val="32"/>
        </w:rPr>
        <w:t>m</w:t>
      </w:r>
      <w:r w:rsidR="0046460C" w:rsidRPr="00AC55F8">
        <w:rPr>
          <w:rFonts w:cs="Arial"/>
          <w:bCs/>
          <w:kern w:val="32"/>
          <w:szCs w:val="32"/>
        </w:rPr>
        <w:t xml:space="preserve"> 84</w:t>
      </w:r>
      <w:r w:rsidR="00824C92" w:rsidRPr="00AC55F8">
        <w:rPr>
          <w:rFonts w:cs="Arial"/>
          <w:bCs/>
          <w:kern w:val="32"/>
          <w:szCs w:val="32"/>
        </w:rPr>
        <w:t>% of the approved bud</w:t>
      </w:r>
      <w:r w:rsidRPr="00AC55F8">
        <w:rPr>
          <w:rFonts w:cs="Arial"/>
          <w:bCs/>
          <w:kern w:val="32"/>
          <w:szCs w:val="32"/>
        </w:rPr>
        <w:t>get</w:t>
      </w:r>
      <w:r w:rsidR="00D04D30" w:rsidRPr="00AC55F8">
        <w:rPr>
          <w:rFonts w:cs="Arial"/>
          <w:bCs/>
          <w:kern w:val="32"/>
          <w:szCs w:val="32"/>
        </w:rPr>
        <w:t xml:space="preserve">. </w:t>
      </w:r>
      <w:r w:rsidR="002E14DC" w:rsidRPr="00AC55F8">
        <w:rPr>
          <w:rFonts w:cs="Arial"/>
          <w:bCs/>
          <w:kern w:val="32"/>
          <w:szCs w:val="32"/>
        </w:rPr>
        <w:t xml:space="preserve"> The following paragraphs outline the progress on the schools programme.</w:t>
      </w:r>
      <w:r w:rsidR="00D80B11" w:rsidRPr="00AC55F8">
        <w:t xml:space="preserve"> SEP1, SEP2, secondary and SEN expansion programmes, which form over 75% of the total 2015-16 budget </w:t>
      </w:r>
      <w:r w:rsidR="00D80B11" w:rsidRPr="00AC55F8">
        <w:lastRenderedPageBreak/>
        <w:t>delivered places by September 2015. Whilst there have been some delays to some of these schemes, it is anticipated that the final accounts will be settled by March 2016. Contracts for the SEP3 budget are anticipated to be awarded in early autumn and therefore the majority of this in year budget is anticipated to slip into next financial year.</w:t>
      </w:r>
    </w:p>
    <w:p w:rsidR="00DC5AEC" w:rsidRDefault="00DC5AEC" w:rsidP="00C6530C">
      <w:pPr>
        <w:numPr>
          <w:ilvl w:val="0"/>
          <w:numId w:val="9"/>
        </w:numPr>
        <w:spacing w:after="240"/>
        <w:ind w:hanging="720"/>
      </w:pPr>
      <w:r w:rsidRPr="00C6530C">
        <w:rPr>
          <w:rFonts w:cs="Arial"/>
          <w:bCs/>
          <w:kern w:val="32"/>
          <w:szCs w:val="32"/>
        </w:rPr>
        <w:t>The budget for the school expansion programme through to 2018-19 is £124.944m.  There have been significant pressures identified primarily in Phase 2 (SEP2) of the programme.  They include items omitted/excluded from the Agreed Maximum Price (AMP) schedules, delays leading to additional costs including Plan B options for works not completed by September 2015 and a number of external unforeseen factors such as UK Power</w:t>
      </w:r>
      <w:r>
        <w:t>.</w:t>
      </w:r>
    </w:p>
    <w:p w:rsidR="00DC5AEC" w:rsidRPr="001715D5" w:rsidRDefault="00DC5AEC" w:rsidP="00DC5AEC">
      <w:pPr>
        <w:ind w:left="720"/>
        <w:rPr>
          <w:b/>
        </w:rPr>
      </w:pPr>
      <w:r w:rsidRPr="001715D5">
        <w:rPr>
          <w:b/>
        </w:rPr>
        <w:t>S</w:t>
      </w:r>
      <w:r w:rsidR="001E726C">
        <w:rPr>
          <w:b/>
        </w:rPr>
        <w:t xml:space="preserve">chools </w:t>
      </w:r>
      <w:r w:rsidRPr="001715D5">
        <w:rPr>
          <w:b/>
        </w:rPr>
        <w:t>E</w:t>
      </w:r>
      <w:r w:rsidR="001E726C">
        <w:rPr>
          <w:b/>
        </w:rPr>
        <w:t>xpansion Programme Phase 1 &amp; 2 (SEP</w:t>
      </w:r>
      <w:r w:rsidRPr="001715D5">
        <w:rPr>
          <w:b/>
        </w:rPr>
        <w:t>1 and SEP2</w:t>
      </w:r>
      <w:r w:rsidR="001E726C">
        <w:rPr>
          <w:b/>
        </w:rPr>
        <w:t>)</w:t>
      </w:r>
    </w:p>
    <w:p w:rsidR="00DC5AEC" w:rsidRPr="001715D5" w:rsidRDefault="00DC5AEC" w:rsidP="00C6530C">
      <w:pPr>
        <w:numPr>
          <w:ilvl w:val="0"/>
          <w:numId w:val="9"/>
        </w:numPr>
        <w:spacing w:after="240"/>
        <w:ind w:hanging="720"/>
      </w:pPr>
      <w:r w:rsidRPr="00C6530C">
        <w:rPr>
          <w:rFonts w:cs="Arial"/>
          <w:bCs/>
          <w:kern w:val="32"/>
          <w:szCs w:val="32"/>
        </w:rPr>
        <w:t>The latest forecast, as at the first week of January 2016, has been provided by the cost consultants for the construction costs only.  In addition to this, an estimate has been made of the costs of the capital team recharges and all other costs including cost consultant fees, planning &amp; building control fees, moving and storage costs and FF&amp;E payments to the schools to furnish the new classrooms</w:t>
      </w:r>
      <w:r>
        <w:rPr>
          <w:rFonts w:cs="Arial"/>
        </w:rPr>
        <w:t>.</w:t>
      </w:r>
    </w:p>
    <w:p w:rsidR="00DC5AEC" w:rsidRPr="001715D5" w:rsidRDefault="00DC5AEC" w:rsidP="00C6530C">
      <w:pPr>
        <w:numPr>
          <w:ilvl w:val="0"/>
          <w:numId w:val="9"/>
        </w:numPr>
        <w:spacing w:after="240"/>
        <w:ind w:hanging="720"/>
      </w:pPr>
      <w:r w:rsidRPr="001715D5">
        <w:rPr>
          <w:rFonts w:cs="Arial"/>
        </w:rPr>
        <w:t>These costs indicate an overall SEP2 pressure of</w:t>
      </w:r>
      <w:r>
        <w:rPr>
          <w:rFonts w:cs="Arial"/>
        </w:rPr>
        <w:t xml:space="preserve"> approximately</w:t>
      </w:r>
      <w:r w:rsidRPr="001715D5">
        <w:rPr>
          <w:rFonts w:cs="Arial"/>
        </w:rPr>
        <w:t xml:space="preserve"> £2.</w:t>
      </w:r>
      <w:r>
        <w:rPr>
          <w:rFonts w:cs="Arial"/>
        </w:rPr>
        <w:t>9</w:t>
      </w:r>
      <w:r w:rsidRPr="001715D5">
        <w:rPr>
          <w:rFonts w:cs="Arial"/>
        </w:rPr>
        <w:t xml:space="preserve">m. There is a contingency of £1.365m and a further </w:t>
      </w:r>
      <w:r w:rsidR="00997BE2">
        <w:rPr>
          <w:rFonts w:cs="Arial"/>
        </w:rPr>
        <w:t xml:space="preserve">possible </w:t>
      </w:r>
      <w:r w:rsidRPr="001715D5">
        <w:rPr>
          <w:rFonts w:cs="Arial"/>
        </w:rPr>
        <w:t xml:space="preserve">£524k of s106 funding identified but not yet drawn down. </w:t>
      </w:r>
      <w:r>
        <w:rPr>
          <w:rFonts w:cs="Arial"/>
        </w:rPr>
        <w:t xml:space="preserve"> </w:t>
      </w:r>
      <w:r w:rsidRPr="001715D5">
        <w:rPr>
          <w:rFonts w:cs="Arial"/>
        </w:rPr>
        <w:t xml:space="preserve">After these are applied, this would leave a SEP1&amp;2 overspend of </w:t>
      </w:r>
      <w:r>
        <w:rPr>
          <w:rFonts w:cs="Arial"/>
        </w:rPr>
        <w:t>approximately £1m</w:t>
      </w:r>
      <w:r w:rsidRPr="001715D5">
        <w:rPr>
          <w:rFonts w:cs="Arial"/>
        </w:rPr>
        <w:t xml:space="preserve">. </w:t>
      </w:r>
      <w:r>
        <w:rPr>
          <w:rFonts w:cs="Arial"/>
        </w:rPr>
        <w:t xml:space="preserve"> </w:t>
      </w:r>
      <w:r w:rsidRPr="001715D5">
        <w:rPr>
          <w:rFonts w:cs="Arial"/>
        </w:rPr>
        <w:t xml:space="preserve">It is anticipated that any overspend </w:t>
      </w:r>
      <w:r>
        <w:rPr>
          <w:rFonts w:cs="Arial"/>
        </w:rPr>
        <w:t>can</w:t>
      </w:r>
      <w:r w:rsidRPr="001715D5">
        <w:rPr>
          <w:rFonts w:cs="Arial"/>
        </w:rPr>
        <w:t xml:space="preserve"> be offset by the uncommitted SEP4 budgets</w:t>
      </w:r>
      <w:r>
        <w:rPr>
          <w:rFonts w:cs="Arial"/>
        </w:rPr>
        <w:t xml:space="preserve"> of £4.615m but there still remains a risk to the overall programme</w:t>
      </w:r>
      <w:r w:rsidRPr="001715D5">
        <w:rPr>
          <w:rFonts w:cs="Arial"/>
        </w:rPr>
        <w:t>.</w:t>
      </w:r>
    </w:p>
    <w:p w:rsidR="00DC5AEC" w:rsidRDefault="00DC5AEC" w:rsidP="00C6530C">
      <w:pPr>
        <w:numPr>
          <w:ilvl w:val="0"/>
          <w:numId w:val="9"/>
        </w:numPr>
        <w:spacing w:after="240"/>
        <w:ind w:hanging="720"/>
        <w:rPr>
          <w:rFonts w:cs="Arial"/>
        </w:rPr>
      </w:pPr>
      <w:r w:rsidRPr="00FC368E">
        <w:rPr>
          <w:rFonts w:cs="Arial"/>
        </w:rPr>
        <w:t xml:space="preserve">The forecasts </w:t>
      </w:r>
      <w:r>
        <w:rPr>
          <w:rFonts w:cs="Arial"/>
        </w:rPr>
        <w:t>continue to be monitored and updated</w:t>
      </w:r>
      <w:r w:rsidRPr="00FC368E">
        <w:rPr>
          <w:rFonts w:cs="Arial"/>
        </w:rPr>
        <w:t xml:space="preserve"> as all of the projects are live and the accounts need clarifying and agreeing with </w:t>
      </w:r>
      <w:r>
        <w:rPr>
          <w:rFonts w:cs="Arial"/>
        </w:rPr>
        <w:t>the contractors</w:t>
      </w:r>
      <w:r w:rsidRPr="00FC368E">
        <w:rPr>
          <w:rFonts w:cs="Arial"/>
        </w:rPr>
        <w:t xml:space="preserve">. </w:t>
      </w:r>
      <w:r w:rsidRPr="00CD7EC5">
        <w:rPr>
          <w:rFonts w:cs="Arial"/>
        </w:rPr>
        <w:t xml:space="preserve"> Work is being undertaken with Legal </w:t>
      </w:r>
      <w:r>
        <w:rPr>
          <w:rFonts w:cs="Arial"/>
        </w:rPr>
        <w:t xml:space="preserve">Services </w:t>
      </w:r>
      <w:r w:rsidRPr="00CD7EC5">
        <w:rPr>
          <w:rFonts w:cs="Arial"/>
        </w:rPr>
        <w:t xml:space="preserve">regarding the stance that can be taken </w:t>
      </w:r>
      <w:r>
        <w:rPr>
          <w:rFonts w:cs="Arial"/>
        </w:rPr>
        <w:t>with the contractors regarding</w:t>
      </w:r>
      <w:r w:rsidRPr="00CD7EC5">
        <w:rPr>
          <w:rFonts w:cs="Arial"/>
        </w:rPr>
        <w:t xml:space="preserve"> some contractual matters</w:t>
      </w:r>
    </w:p>
    <w:p w:rsidR="00DC5AEC" w:rsidRPr="004A2015" w:rsidRDefault="001E726C" w:rsidP="00DC5AEC">
      <w:pPr>
        <w:ind w:left="720"/>
        <w:rPr>
          <w:b/>
        </w:rPr>
      </w:pPr>
      <w:r>
        <w:rPr>
          <w:b/>
        </w:rPr>
        <w:t>Schools Expansion Programme Phase 3 (</w:t>
      </w:r>
      <w:r w:rsidR="00DC5AEC" w:rsidRPr="004A2015">
        <w:rPr>
          <w:b/>
        </w:rPr>
        <w:t>SEP3</w:t>
      </w:r>
      <w:r>
        <w:rPr>
          <w:b/>
        </w:rPr>
        <w:t>)</w:t>
      </w:r>
    </w:p>
    <w:p w:rsidR="00DC5AEC" w:rsidRPr="00DC5AEC" w:rsidRDefault="00DC5AEC" w:rsidP="00C6530C">
      <w:pPr>
        <w:numPr>
          <w:ilvl w:val="0"/>
          <w:numId w:val="9"/>
        </w:numPr>
        <w:spacing w:after="240"/>
        <w:ind w:hanging="720"/>
      </w:pPr>
      <w:r w:rsidRPr="00FC368E">
        <w:rPr>
          <w:rFonts w:cs="Arial"/>
        </w:rPr>
        <w:t xml:space="preserve">In September 2015 Cabinet agreed a virement from the currently uncommitted SEP4 programme to cover the anticipated costs of SEP3. It is anticipated that the majority of this budget will be slipped to 2016-17. However, the latest forecasts provided by </w:t>
      </w:r>
      <w:proofErr w:type="spellStart"/>
      <w:r w:rsidRPr="00FC368E">
        <w:rPr>
          <w:rFonts w:cs="Arial"/>
        </w:rPr>
        <w:t>Willmott</w:t>
      </w:r>
      <w:proofErr w:type="spellEnd"/>
      <w:r w:rsidRPr="00FC368E">
        <w:rPr>
          <w:rFonts w:cs="Arial"/>
        </w:rPr>
        <w:t xml:space="preserve"> Dixon suggest that the costs of the initial three school e</w:t>
      </w:r>
      <w:r w:rsidRPr="00CD7EC5">
        <w:rPr>
          <w:rFonts w:cs="Arial"/>
        </w:rPr>
        <w:t xml:space="preserve">xpansion projects could be in excess of the </w:t>
      </w:r>
      <w:r w:rsidRPr="00AA69B5">
        <w:rPr>
          <w:rFonts w:cs="Arial"/>
        </w:rPr>
        <w:t>budget allocated to these</w:t>
      </w:r>
      <w:r>
        <w:rPr>
          <w:rFonts w:cs="Arial"/>
        </w:rPr>
        <w:t xml:space="preserve"> three</w:t>
      </w:r>
      <w:r w:rsidRPr="00FC368E">
        <w:rPr>
          <w:rFonts w:cs="Arial"/>
        </w:rPr>
        <w:t xml:space="preserve"> schemes</w:t>
      </w:r>
      <w:r>
        <w:rPr>
          <w:rFonts w:cs="Arial"/>
        </w:rPr>
        <w:t xml:space="preserve"> by approximately £1.8m</w:t>
      </w:r>
      <w:r w:rsidRPr="00FC368E">
        <w:rPr>
          <w:rFonts w:cs="Arial"/>
        </w:rPr>
        <w:t xml:space="preserve">. </w:t>
      </w:r>
      <w:r>
        <w:rPr>
          <w:rFonts w:cs="Arial"/>
        </w:rPr>
        <w:t xml:space="preserve">There is an overall SEP3 contingency for 5 schemes totalling £1.48m which would partially mitigate this pressure. However, it should be noted that the designs on which these forecasts are based are subject to planning approval and any further works or redesigns required to meet any additional planning conditions could put further financial pressure on this programme. Weald Rise School, also part of SEP3, is being rebuilt as part of the Priority School Building Programme however the expansion of the school is in addition to the works being provided by the EFA. Therefore the council has committed </w:t>
      </w:r>
      <w:r>
        <w:rPr>
          <w:rFonts w:cs="Arial"/>
        </w:rPr>
        <w:lastRenderedPageBreak/>
        <w:t xml:space="preserve">to a top up fee in order to deliver the expansion element of this programme, totalling £2.189m. Finally, the Stag Lane schools are not included in the current forecast as they are still at the design and school sign-off stage. There is a budget allocated to this scheme and if the above forecasts come to fruition and the Stag Lane schools are predicted to be over budget then this would be a further risk to this element of the programme. </w:t>
      </w:r>
    </w:p>
    <w:p w:rsidR="00DC5AEC" w:rsidRPr="004A2015" w:rsidRDefault="001E726C" w:rsidP="00DC5AEC">
      <w:pPr>
        <w:ind w:left="720"/>
        <w:rPr>
          <w:b/>
        </w:rPr>
      </w:pPr>
      <w:r>
        <w:rPr>
          <w:b/>
        </w:rPr>
        <w:t>Schools Expansion Programme Phase 4 (</w:t>
      </w:r>
      <w:r w:rsidR="00DC5AEC" w:rsidRPr="004A2015">
        <w:rPr>
          <w:b/>
        </w:rPr>
        <w:t>SEP4</w:t>
      </w:r>
      <w:r>
        <w:rPr>
          <w:b/>
        </w:rPr>
        <w:t>)</w:t>
      </w:r>
    </w:p>
    <w:p w:rsidR="00DC5AEC" w:rsidRPr="003D4F02" w:rsidRDefault="00DC5AEC" w:rsidP="00C6530C">
      <w:pPr>
        <w:numPr>
          <w:ilvl w:val="0"/>
          <w:numId w:val="9"/>
        </w:numPr>
        <w:spacing w:after="240"/>
        <w:ind w:hanging="720"/>
      </w:pPr>
      <w:r w:rsidRPr="004A2015">
        <w:rPr>
          <w:rFonts w:cs="Arial"/>
        </w:rPr>
        <w:t xml:space="preserve">There is an uncommitted SEP4 budget of £4.615m. </w:t>
      </w:r>
      <w:r>
        <w:rPr>
          <w:rFonts w:cs="Arial"/>
        </w:rPr>
        <w:t xml:space="preserve"> </w:t>
      </w:r>
      <w:r w:rsidRPr="004A2015">
        <w:rPr>
          <w:rFonts w:cs="Arial"/>
        </w:rPr>
        <w:t xml:space="preserve">If all of the free schools come on line then it is not anticipated that this funding would be needed. </w:t>
      </w:r>
      <w:r>
        <w:rPr>
          <w:rFonts w:cs="Arial"/>
        </w:rPr>
        <w:t xml:space="preserve"> </w:t>
      </w:r>
      <w:r w:rsidRPr="004A2015">
        <w:rPr>
          <w:rFonts w:cs="Arial"/>
        </w:rPr>
        <w:t>Therefore this could be used to offset the predicted overspend</w:t>
      </w:r>
      <w:r>
        <w:rPr>
          <w:rFonts w:cs="Arial"/>
        </w:rPr>
        <w:t xml:space="preserve"> of £1m</w:t>
      </w:r>
      <w:r w:rsidRPr="004A2015">
        <w:rPr>
          <w:rFonts w:cs="Arial"/>
        </w:rPr>
        <w:t xml:space="preserve"> on SEP2 and any potential pressures on SEP3</w:t>
      </w:r>
      <w:r>
        <w:rPr>
          <w:rFonts w:cs="Arial"/>
        </w:rPr>
        <w:t xml:space="preserve"> currently identified at £300k.</w:t>
      </w:r>
    </w:p>
    <w:p w:rsidR="00DC5AEC" w:rsidRPr="00AA69B5" w:rsidRDefault="00DC5AEC" w:rsidP="00C6530C">
      <w:pPr>
        <w:rPr>
          <w:b/>
        </w:rPr>
      </w:pPr>
      <w:r w:rsidRPr="00AA69B5">
        <w:rPr>
          <w:rFonts w:cs="Arial"/>
          <w:b/>
        </w:rPr>
        <w:t>VIREMENT</w:t>
      </w:r>
    </w:p>
    <w:p w:rsidR="003767A0" w:rsidRPr="003767A0" w:rsidRDefault="00DC5AEC" w:rsidP="00C6530C">
      <w:pPr>
        <w:numPr>
          <w:ilvl w:val="0"/>
          <w:numId w:val="9"/>
        </w:numPr>
        <w:spacing w:after="240"/>
        <w:ind w:hanging="720"/>
      </w:pPr>
      <w:r w:rsidRPr="003D4F02">
        <w:rPr>
          <w:rFonts w:cs="Arial"/>
        </w:rPr>
        <w:t xml:space="preserve">A virement </w:t>
      </w:r>
      <w:r>
        <w:rPr>
          <w:rFonts w:cs="Arial"/>
        </w:rPr>
        <w:t>is</w:t>
      </w:r>
      <w:r w:rsidRPr="003D4F02">
        <w:rPr>
          <w:rFonts w:cs="Arial"/>
        </w:rPr>
        <w:t xml:space="preserve"> requested </w:t>
      </w:r>
      <w:r w:rsidRPr="00CD7EC5">
        <w:rPr>
          <w:rFonts w:cs="Arial"/>
        </w:rPr>
        <w:t xml:space="preserve">to vire the remaining SEP contingency of £1.365m to the </w:t>
      </w:r>
      <w:r w:rsidR="003767A0">
        <w:rPr>
          <w:rFonts w:cs="Arial"/>
        </w:rPr>
        <w:t xml:space="preserve">following </w:t>
      </w:r>
      <w:r w:rsidR="00997BE2">
        <w:rPr>
          <w:rFonts w:cs="Arial"/>
        </w:rPr>
        <w:t>Secondary Expansion</w:t>
      </w:r>
      <w:r>
        <w:rPr>
          <w:rFonts w:cs="Arial"/>
        </w:rPr>
        <w:t xml:space="preserve"> line</w:t>
      </w:r>
      <w:r w:rsidR="003767A0">
        <w:rPr>
          <w:rFonts w:cs="Arial"/>
        </w:rPr>
        <w:t>s</w:t>
      </w:r>
      <w:r>
        <w:rPr>
          <w:rFonts w:cs="Arial"/>
        </w:rPr>
        <w:t xml:space="preserve"> within the programme</w:t>
      </w:r>
      <w:r w:rsidR="003767A0">
        <w:rPr>
          <w:rFonts w:cs="Arial"/>
        </w:rPr>
        <w:t xml:space="preserve"> for which this contingency was intended:</w:t>
      </w:r>
    </w:p>
    <w:p w:rsidR="003767A0" w:rsidRPr="003767A0" w:rsidRDefault="003767A0" w:rsidP="003F5751">
      <w:pPr>
        <w:numPr>
          <w:ilvl w:val="1"/>
          <w:numId w:val="9"/>
        </w:numPr>
        <w:spacing w:after="240"/>
      </w:pPr>
      <w:r>
        <w:rPr>
          <w:rFonts w:cs="Arial"/>
        </w:rPr>
        <w:t>SEP1 £</w:t>
      </w:r>
      <w:r w:rsidR="00D64B01">
        <w:rPr>
          <w:rFonts w:cs="Arial"/>
        </w:rPr>
        <w:t>0.</w:t>
      </w:r>
      <w:r>
        <w:rPr>
          <w:rFonts w:cs="Arial"/>
        </w:rPr>
        <w:t>533</w:t>
      </w:r>
      <w:r w:rsidR="00D64B01">
        <w:rPr>
          <w:rFonts w:cs="Arial"/>
        </w:rPr>
        <w:t>m</w:t>
      </w:r>
    </w:p>
    <w:p w:rsidR="003767A0" w:rsidRPr="003767A0" w:rsidRDefault="003767A0" w:rsidP="003F5751">
      <w:pPr>
        <w:numPr>
          <w:ilvl w:val="1"/>
          <w:numId w:val="9"/>
        </w:numPr>
        <w:spacing w:after="240"/>
      </w:pPr>
      <w:r>
        <w:rPr>
          <w:rFonts w:cs="Arial"/>
        </w:rPr>
        <w:t>SEN £</w:t>
      </w:r>
      <w:r w:rsidR="00D64B01">
        <w:rPr>
          <w:rFonts w:cs="Arial"/>
        </w:rPr>
        <w:t>0.</w:t>
      </w:r>
      <w:r>
        <w:rPr>
          <w:rFonts w:cs="Arial"/>
        </w:rPr>
        <w:t>589</w:t>
      </w:r>
      <w:r w:rsidR="00D64B01">
        <w:rPr>
          <w:rFonts w:cs="Arial"/>
        </w:rPr>
        <w:t>m</w:t>
      </w:r>
    </w:p>
    <w:p w:rsidR="00827E32" w:rsidRPr="003767A0" w:rsidRDefault="003767A0" w:rsidP="003F5751">
      <w:pPr>
        <w:numPr>
          <w:ilvl w:val="1"/>
          <w:numId w:val="9"/>
        </w:numPr>
      </w:pPr>
      <w:r>
        <w:rPr>
          <w:rFonts w:cs="Arial"/>
        </w:rPr>
        <w:t>Secondary £243k</w:t>
      </w:r>
    </w:p>
    <w:p w:rsidR="00DC5AEC" w:rsidRDefault="00DC5AEC" w:rsidP="003F5751">
      <w:pPr>
        <w:rPr>
          <w:rFonts w:cs="Arial"/>
        </w:rPr>
      </w:pPr>
    </w:p>
    <w:p w:rsidR="00827E32" w:rsidRDefault="00827E32" w:rsidP="003F5751">
      <w:pPr>
        <w:rPr>
          <w:rFonts w:cs="Arial"/>
        </w:rPr>
      </w:pPr>
    </w:p>
    <w:p w:rsidR="00827E32" w:rsidRDefault="00827E32" w:rsidP="003F5751">
      <w:r>
        <w:t>In addition a virement is requested to vire £1m from the currently uncommitted SEP4 programme to the SEP2 line within the capital programme.</w:t>
      </w:r>
    </w:p>
    <w:p w:rsidR="00827E32" w:rsidRDefault="00827E32" w:rsidP="003F5751"/>
    <w:p w:rsidR="00827E32" w:rsidRDefault="00827E32" w:rsidP="003F5751"/>
    <w:p w:rsidR="00827E32" w:rsidRDefault="00827E32" w:rsidP="003F5751"/>
    <w:p w:rsidR="002E14DC" w:rsidRDefault="002E14DC" w:rsidP="00741AEB">
      <w:pPr>
        <w:spacing w:after="240"/>
        <w:rPr>
          <w:b/>
          <w:u w:val="single"/>
        </w:rPr>
      </w:pPr>
      <w:r>
        <w:rPr>
          <w:b/>
          <w:u w:val="single"/>
        </w:rPr>
        <w:t>REGENERATION</w:t>
      </w:r>
    </w:p>
    <w:bookmarkEnd w:id="4"/>
    <w:p w:rsidR="0014760B" w:rsidRDefault="0014760B" w:rsidP="00C6530C">
      <w:pPr>
        <w:numPr>
          <w:ilvl w:val="0"/>
          <w:numId w:val="9"/>
        </w:numPr>
        <w:spacing w:after="240"/>
        <w:ind w:hanging="720"/>
      </w:pPr>
      <w:r w:rsidRPr="0031658B">
        <w:rPr>
          <w:rFonts w:cs="Arial"/>
        </w:rPr>
        <w:t>The</w:t>
      </w:r>
      <w:r w:rsidRPr="0014760B">
        <w:t xml:space="preserve"> Division forecast to spend £3.416m (or 76%) on this year’s budget allocation. The main reasons for slippage are as follows:</w:t>
      </w:r>
    </w:p>
    <w:p w:rsidR="0014760B" w:rsidRDefault="0014760B" w:rsidP="00C6530C">
      <w:pPr>
        <w:numPr>
          <w:ilvl w:val="0"/>
          <w:numId w:val="9"/>
        </w:numPr>
        <w:spacing w:after="240"/>
        <w:ind w:hanging="720"/>
      </w:pPr>
      <w:r w:rsidRPr="0031658B">
        <w:rPr>
          <w:rFonts w:cs="Arial"/>
        </w:rPr>
        <w:t>Additional</w:t>
      </w:r>
      <w:r w:rsidRPr="0014760B">
        <w:t xml:space="preserve"> budgets of £2.3m were added to Regeneration Programme this year following Cabinet approval in September 15, £1.1m of which was allocated to fund the procurements of design teams for various sites identified for redevelopment. These include Station Road Quarter, Wealdstone site, </w:t>
      </w:r>
      <w:proofErr w:type="gramStart"/>
      <w:r w:rsidRPr="0014760B">
        <w:t>Vaughan</w:t>
      </w:r>
      <w:proofErr w:type="gramEnd"/>
      <w:r w:rsidRPr="0014760B">
        <w:t xml:space="preserve"> Road and Waxwell Lane car parks. The contract for </w:t>
      </w:r>
      <w:r w:rsidR="00837EC2">
        <w:t xml:space="preserve">the </w:t>
      </w:r>
      <w:r w:rsidRPr="0014760B">
        <w:t xml:space="preserve">Station Road Quarter has been awarded and therefore some spend is anticipated in the last quarter of 2015/16. The procurement process for both car park sites is underway, however the timescale will mean that the work will not commence until March 16. </w:t>
      </w:r>
      <w:r w:rsidR="00837EC2" w:rsidRPr="00837EC2">
        <w:t xml:space="preserve">Additional land assembly work has also led to a slight delay in the design procurement for the Wealdstone site. </w:t>
      </w:r>
      <w:r w:rsidRPr="0014760B">
        <w:t xml:space="preserve">It is now forecast that £0.85m of this budget will be slipped to </w:t>
      </w:r>
      <w:r w:rsidR="00AC20C2">
        <w:t>20</w:t>
      </w:r>
      <w:r w:rsidRPr="0014760B">
        <w:t>16/17.</w:t>
      </w:r>
    </w:p>
    <w:p w:rsidR="0014760B" w:rsidRDefault="0014760B" w:rsidP="00C6530C">
      <w:pPr>
        <w:numPr>
          <w:ilvl w:val="0"/>
          <w:numId w:val="9"/>
        </w:numPr>
        <w:spacing w:after="240"/>
        <w:ind w:hanging="720"/>
      </w:pPr>
      <w:r w:rsidRPr="0014760B">
        <w:t xml:space="preserve">There are also a forecast underspend of £50k and £75k reported for Leisure Centre site and Greenhill Way site respectively. Some master planning work has been commissioned for Leisure Centre, with further </w:t>
      </w:r>
      <w:r w:rsidRPr="0014760B">
        <w:lastRenderedPageBreak/>
        <w:t>study likely to take place at a later time. There is also some delay on Greenhill Way feasibility study.</w:t>
      </w:r>
    </w:p>
    <w:p w:rsidR="0014760B" w:rsidRDefault="0014760B" w:rsidP="00C6530C">
      <w:pPr>
        <w:numPr>
          <w:ilvl w:val="0"/>
          <w:numId w:val="9"/>
        </w:numPr>
        <w:spacing w:after="240"/>
        <w:ind w:hanging="720"/>
      </w:pPr>
      <w:r w:rsidRPr="0014760B">
        <w:t>A £45k underspend is identified for the Haslam House project as a result of the lower tender prices for the demolition contract.  However, due to uncertainty around affordable housing contribution, it is prudent to hold this sum until the position becomes clear and any revised costs are available.</w:t>
      </w:r>
    </w:p>
    <w:p w:rsidR="0014760B" w:rsidRDefault="0014760B" w:rsidP="00C6530C">
      <w:pPr>
        <w:numPr>
          <w:ilvl w:val="0"/>
          <w:numId w:val="9"/>
        </w:numPr>
        <w:spacing w:after="240"/>
        <w:ind w:hanging="720"/>
      </w:pPr>
      <w:r w:rsidRPr="0014760B">
        <w:t xml:space="preserve">The site acquisition in Wealdstone is currently assumed to be concluded in this financial year and the cost included in the forecast. There is a medium risk that the purchase may not </w:t>
      </w:r>
      <w:proofErr w:type="gramStart"/>
      <w:r w:rsidRPr="0014760B">
        <w:t>proceed</w:t>
      </w:r>
      <w:proofErr w:type="gramEnd"/>
      <w:r w:rsidRPr="0014760B">
        <w:t xml:space="preserve"> by March 16. This is subject to on-going review.</w:t>
      </w:r>
    </w:p>
    <w:p w:rsidR="00741AEB" w:rsidRPr="006B1DE1" w:rsidRDefault="00741AEB" w:rsidP="00741AEB">
      <w:pPr>
        <w:rPr>
          <w:b/>
          <w:u w:val="single"/>
        </w:rPr>
      </w:pPr>
      <w:r w:rsidRPr="006B1DE1">
        <w:rPr>
          <w:b/>
          <w:u w:val="single"/>
        </w:rPr>
        <w:t>Housing Revenue Account</w:t>
      </w:r>
    </w:p>
    <w:p w:rsidR="0014760B" w:rsidRDefault="0014760B" w:rsidP="00C6530C">
      <w:pPr>
        <w:numPr>
          <w:ilvl w:val="0"/>
          <w:numId w:val="9"/>
        </w:numPr>
        <w:spacing w:after="240"/>
        <w:ind w:hanging="720"/>
      </w:pPr>
      <w:r>
        <w:t>As at Quarter 2 the spend forecast is £18.766</w:t>
      </w:r>
      <w:r w:rsidR="00741AEB" w:rsidRPr="00374CD9">
        <w:t xml:space="preserve">m, </w:t>
      </w:r>
      <w:r>
        <w:t>63</w:t>
      </w:r>
      <w:r w:rsidR="00741AEB" w:rsidRPr="00374CD9">
        <w:t xml:space="preserve">% of the 2015/16 HRA’s latest capital Budget. </w:t>
      </w:r>
      <w:r>
        <w:t xml:space="preserve"> At Quarter 3</w:t>
      </w:r>
      <w:r w:rsidR="00A85FA8" w:rsidRPr="00374CD9">
        <w:t xml:space="preserve"> the revised forecast is £1</w:t>
      </w:r>
      <w:r w:rsidR="00250C20">
        <w:t>8.</w:t>
      </w:r>
      <w:r>
        <w:t>264</w:t>
      </w:r>
      <w:r w:rsidR="00A85FA8" w:rsidRPr="00374CD9">
        <w:t xml:space="preserve">m </w:t>
      </w:r>
      <w:r w:rsidR="009759D8">
        <w:t>6</w:t>
      </w:r>
      <w:r>
        <w:t>0</w:t>
      </w:r>
      <w:r w:rsidR="00A85FA8" w:rsidRPr="00374CD9">
        <w:t xml:space="preserve">% of the </w:t>
      </w:r>
      <w:r w:rsidR="00076343" w:rsidRPr="00374CD9">
        <w:t>approved capital budget</w:t>
      </w:r>
      <w:r>
        <w:t>.</w:t>
      </w:r>
    </w:p>
    <w:p w:rsidR="00095755" w:rsidRPr="00374CD9" w:rsidRDefault="00741AEB" w:rsidP="00C6530C">
      <w:pPr>
        <w:numPr>
          <w:ilvl w:val="0"/>
          <w:numId w:val="9"/>
        </w:numPr>
        <w:spacing w:after="240"/>
        <w:ind w:hanging="720"/>
      </w:pPr>
      <w:r w:rsidRPr="00374CD9">
        <w:t xml:space="preserve">The forecast under spend </w:t>
      </w:r>
      <w:r w:rsidR="00095755" w:rsidRPr="00374CD9">
        <w:t>is</w:t>
      </w:r>
      <w:r w:rsidRPr="00374CD9">
        <w:t xml:space="preserve"> £</w:t>
      </w:r>
      <w:r w:rsidR="00095755" w:rsidRPr="00374CD9">
        <w:t>1</w:t>
      </w:r>
      <w:r w:rsidR="009759D8">
        <w:t>1</w:t>
      </w:r>
      <w:r w:rsidR="00095755" w:rsidRPr="00374CD9">
        <w:t>.</w:t>
      </w:r>
      <w:r w:rsidR="0014760B">
        <w:t>975</w:t>
      </w:r>
      <w:r w:rsidR="00095755" w:rsidRPr="00374CD9">
        <w:t>m</w:t>
      </w:r>
      <w:r w:rsidR="0014760B">
        <w:t xml:space="preserve"> </w:t>
      </w:r>
      <w:r w:rsidR="00515238">
        <w:t xml:space="preserve">which </w:t>
      </w:r>
      <w:r w:rsidR="00095755" w:rsidRPr="00374CD9">
        <w:t>will</w:t>
      </w:r>
      <w:r w:rsidR="0014760B">
        <w:t xml:space="preserve"> all</w:t>
      </w:r>
      <w:r w:rsidR="00095755" w:rsidRPr="00374CD9">
        <w:t xml:space="preserve"> be slipped into </w:t>
      </w:r>
      <w:r w:rsidR="00AC20C2">
        <w:t>20</w:t>
      </w:r>
      <w:r w:rsidR="00095755" w:rsidRPr="00374CD9">
        <w:t>16/17</w:t>
      </w:r>
      <w:r w:rsidR="0014760B">
        <w:t>.</w:t>
      </w:r>
      <w:r w:rsidRPr="00374CD9">
        <w:t xml:space="preserve">  </w:t>
      </w:r>
    </w:p>
    <w:p w:rsidR="00741AEB" w:rsidRDefault="00741AEB" w:rsidP="00C6530C">
      <w:pPr>
        <w:numPr>
          <w:ilvl w:val="0"/>
          <w:numId w:val="9"/>
        </w:numPr>
        <w:spacing w:after="240"/>
        <w:ind w:hanging="720"/>
        <w:rPr>
          <w:rFonts w:cs="Arial"/>
          <w:bCs/>
          <w:kern w:val="32"/>
          <w:szCs w:val="32"/>
        </w:rPr>
      </w:pPr>
      <w:r w:rsidRPr="00374CD9">
        <w:t>This project is in relation to investment in Council owned housing stock</w:t>
      </w:r>
      <w:r w:rsidRPr="00D44E09">
        <w:t xml:space="preserve"> - finance</w:t>
      </w:r>
      <w:r w:rsidR="0014760B">
        <w:t xml:space="preserve">d entirely from HRA, </w:t>
      </w:r>
      <w:r w:rsidRPr="00D44E09">
        <w:t>slippage will have no revenue impact on HRA as majority of financing is by way of a pre-determ</w:t>
      </w:r>
      <w:r w:rsidRPr="006B1DE1">
        <w:rPr>
          <w:rFonts w:cs="Arial"/>
          <w:bCs/>
          <w:kern w:val="32"/>
          <w:szCs w:val="32"/>
        </w:rPr>
        <w:t xml:space="preserve">ined charge to revenue which transfers resources to earmarked capital reserves. </w:t>
      </w:r>
    </w:p>
    <w:p w:rsidR="00095755" w:rsidRDefault="00095755" w:rsidP="00095755">
      <w:pPr>
        <w:ind w:left="360"/>
        <w:rPr>
          <w:rFonts w:cs="Arial"/>
          <w:b/>
          <w:bCs/>
          <w:kern w:val="32"/>
          <w:szCs w:val="32"/>
          <w:u w:val="single"/>
        </w:rPr>
      </w:pPr>
      <w:r w:rsidRPr="00095755">
        <w:rPr>
          <w:rFonts w:cs="Arial"/>
          <w:b/>
          <w:bCs/>
          <w:kern w:val="32"/>
          <w:szCs w:val="32"/>
          <w:u w:val="single"/>
        </w:rPr>
        <w:t>HRA Affor</w:t>
      </w:r>
      <w:r>
        <w:rPr>
          <w:rFonts w:cs="Arial"/>
          <w:b/>
          <w:bCs/>
          <w:kern w:val="32"/>
          <w:szCs w:val="32"/>
          <w:u w:val="single"/>
        </w:rPr>
        <w:t xml:space="preserve">dable Housing (Homes 4Harrow) </w:t>
      </w:r>
    </w:p>
    <w:p w:rsidR="00095755" w:rsidRDefault="00095755" w:rsidP="00095755">
      <w:pPr>
        <w:ind w:left="360"/>
        <w:rPr>
          <w:rFonts w:cs="Arial"/>
          <w:b/>
          <w:bCs/>
          <w:kern w:val="32"/>
          <w:szCs w:val="32"/>
          <w:u w:val="single"/>
        </w:rPr>
      </w:pPr>
    </w:p>
    <w:p w:rsidR="00A00233" w:rsidRPr="00374CD9" w:rsidRDefault="00600637" w:rsidP="00C6530C">
      <w:pPr>
        <w:numPr>
          <w:ilvl w:val="0"/>
          <w:numId w:val="9"/>
        </w:numPr>
        <w:spacing w:after="240"/>
        <w:ind w:hanging="720"/>
      </w:pPr>
      <w:r w:rsidRPr="00374CD9">
        <w:t xml:space="preserve">It has always need anticipated that there will be need to review  the completion time </w:t>
      </w:r>
      <w:r w:rsidR="00A00233" w:rsidRPr="00374CD9">
        <w:t xml:space="preserve">for this project </w:t>
      </w:r>
      <w:r w:rsidRPr="00374CD9">
        <w:t xml:space="preserve">once there is active engage in the market submission as a result of adverse feedback from initial </w:t>
      </w:r>
      <w:r w:rsidR="00A00233" w:rsidRPr="00374CD9">
        <w:t xml:space="preserve">residential </w:t>
      </w:r>
      <w:r w:rsidRPr="00374CD9">
        <w:t>consultation</w:t>
      </w:r>
      <w:r w:rsidR="00A00233" w:rsidRPr="00374CD9">
        <w:t>.</w:t>
      </w:r>
    </w:p>
    <w:p w:rsidR="00600637" w:rsidRDefault="00A00233" w:rsidP="00C6530C">
      <w:pPr>
        <w:numPr>
          <w:ilvl w:val="0"/>
          <w:numId w:val="9"/>
        </w:numPr>
        <w:spacing w:after="240"/>
        <w:ind w:hanging="720"/>
        <w:rPr>
          <w:rFonts w:cs="Arial"/>
          <w:bCs/>
          <w:kern w:val="32"/>
          <w:szCs w:val="32"/>
        </w:rPr>
      </w:pPr>
      <w:r w:rsidRPr="00374CD9">
        <w:t>There was also a need for additional</w:t>
      </w:r>
      <w:r w:rsidR="00600637" w:rsidRPr="00374CD9">
        <w:t xml:space="preserve"> clarifications </w:t>
      </w:r>
      <w:r w:rsidRPr="00374CD9">
        <w:t>on</w:t>
      </w:r>
      <w:r w:rsidR="00600637" w:rsidRPr="00374CD9">
        <w:t xml:space="preserve"> tender</w:t>
      </w:r>
      <w:r w:rsidRPr="00374CD9">
        <w:t>s</w:t>
      </w:r>
      <w:r w:rsidR="00600637" w:rsidRPr="00374CD9">
        <w:t xml:space="preserve"> for the first build contract as a result of significantly higher tender prices being </w:t>
      </w:r>
      <w:r w:rsidRPr="00374CD9">
        <w:t>received;</w:t>
      </w:r>
      <w:r w:rsidR="00600637" w:rsidRPr="00374CD9">
        <w:t xml:space="preserve"> this in turn has lead delay in letting the contract and subsequent</w:t>
      </w:r>
      <w:r w:rsidR="00600637">
        <w:rPr>
          <w:rFonts w:cs="Arial"/>
          <w:bCs/>
          <w:kern w:val="32"/>
          <w:szCs w:val="32"/>
        </w:rPr>
        <w:t xml:space="preserve"> delay in planning permission.</w:t>
      </w:r>
    </w:p>
    <w:p w:rsidR="00741AEB" w:rsidRPr="006B1DE1" w:rsidRDefault="00741AEB" w:rsidP="00741AEB">
      <w:pPr>
        <w:pStyle w:val="Heading2"/>
      </w:pPr>
      <w:r w:rsidRPr="006B1DE1">
        <w:t>Addition</w:t>
      </w:r>
      <w:r w:rsidR="005813FE">
        <w:t>s</w:t>
      </w:r>
      <w:r w:rsidRPr="006B1DE1">
        <w:t xml:space="preserve"> to the Capital Programme</w:t>
      </w:r>
    </w:p>
    <w:p w:rsidR="00741AEB" w:rsidRDefault="00956888" w:rsidP="00C6530C">
      <w:pPr>
        <w:numPr>
          <w:ilvl w:val="0"/>
          <w:numId w:val="9"/>
        </w:numPr>
        <w:spacing w:after="240"/>
        <w:ind w:hanging="720"/>
      </w:pPr>
      <w:r>
        <w:t>The Station Road Highway and Environmental Improvements scheme is funded by TfL via the LIP (£110k), GLA High Street fund (£194.2k), and Harrow capital (£100k). It is recommended that £7.5k is added to the project funded from available s106 funding.</w:t>
      </w:r>
    </w:p>
    <w:p w:rsidR="00741AEB" w:rsidRPr="006B1DE1" w:rsidRDefault="00741AEB" w:rsidP="00741AEB">
      <w:pPr>
        <w:rPr>
          <w:b/>
          <w:sz w:val="28"/>
          <w:szCs w:val="28"/>
        </w:rPr>
      </w:pPr>
      <w:r w:rsidRPr="006B1DE1">
        <w:rPr>
          <w:b/>
          <w:sz w:val="28"/>
          <w:szCs w:val="28"/>
        </w:rPr>
        <w:t>Legal Implications</w:t>
      </w:r>
    </w:p>
    <w:p w:rsidR="00741AEB" w:rsidRPr="00374CD9" w:rsidRDefault="00741AEB" w:rsidP="00C6530C">
      <w:pPr>
        <w:numPr>
          <w:ilvl w:val="0"/>
          <w:numId w:val="9"/>
        </w:numPr>
        <w:spacing w:after="240"/>
        <w:ind w:hanging="720"/>
      </w:pPr>
      <w:r w:rsidRPr="00374CD9">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w:t>
      </w:r>
      <w:r w:rsidR="007E2E17" w:rsidRPr="00374CD9">
        <w:t>G</w:t>
      </w:r>
      <w:r w:rsidRPr="00374CD9">
        <w:t xml:space="preserve">overnment Act 2003 imposes a statutory duty on a billing or major precepting authority to monitor, during the financial year, its income and expenditure against budget calculations. </w:t>
      </w:r>
    </w:p>
    <w:p w:rsidR="00741AEB" w:rsidRPr="00AD73E5" w:rsidRDefault="00741AEB" w:rsidP="00C6530C">
      <w:pPr>
        <w:numPr>
          <w:ilvl w:val="0"/>
          <w:numId w:val="9"/>
        </w:numPr>
        <w:spacing w:after="240"/>
        <w:ind w:hanging="720"/>
        <w:rPr>
          <w:rFonts w:cs="Arial"/>
          <w:szCs w:val="24"/>
          <w:lang w:eastAsia="en-GB"/>
        </w:rPr>
      </w:pPr>
      <w:r w:rsidRPr="00374CD9">
        <w:lastRenderedPageBreak/>
        <w:t>Under Allocation of Responsibilities in the Constitution, C</w:t>
      </w:r>
      <w:r w:rsidR="00E2312A" w:rsidRPr="00374CD9">
        <w:t>ouncil</w:t>
      </w:r>
      <w:r w:rsidRPr="00374CD9">
        <w:t xml:space="preserve"> is responsible for all decisions, which are expected to result in variations to agreed revenue or capital budgets.  </w:t>
      </w:r>
      <w:r w:rsidR="00AD73E5" w:rsidRPr="003F5751">
        <w:t>The Financial Regulations set out delegations in respect of virements. All virements of over £500,000 must be approved by Cabinet.</w:t>
      </w:r>
    </w:p>
    <w:p w:rsidR="0096570D" w:rsidRPr="00E6414C" w:rsidRDefault="0096570D" w:rsidP="0096570D">
      <w:pPr>
        <w:numPr>
          <w:ilvl w:val="0"/>
          <w:numId w:val="9"/>
        </w:numPr>
        <w:spacing w:after="240"/>
        <w:ind w:hanging="720"/>
        <w:rPr>
          <w:szCs w:val="24"/>
        </w:rPr>
      </w:pPr>
      <w:r>
        <w:rPr>
          <w:rFonts w:cs="Arial"/>
          <w:szCs w:val="24"/>
          <w:lang w:eastAsia="en-GB"/>
        </w:rPr>
        <w:t>Writing off debt of over £25,000 must be approved by Cabinet under the Financial Regulations.</w:t>
      </w:r>
    </w:p>
    <w:p w:rsidR="00E6414C" w:rsidRPr="006A6C96" w:rsidRDefault="00E6414C" w:rsidP="00C6530C">
      <w:pPr>
        <w:numPr>
          <w:ilvl w:val="0"/>
          <w:numId w:val="9"/>
        </w:numPr>
        <w:spacing w:after="240"/>
        <w:ind w:hanging="720"/>
        <w:rPr>
          <w:szCs w:val="24"/>
        </w:rPr>
      </w:pPr>
      <w:r>
        <w:t>Under the Council’s Financial Regulations, additions of up to £500k to the capital programme can be made by Cabinet in respect of specific projects where:</w:t>
      </w:r>
    </w:p>
    <w:p w:rsidR="00E6414C" w:rsidRPr="004F40B6" w:rsidRDefault="00E6414C" w:rsidP="00D80B11">
      <w:pPr>
        <w:numPr>
          <w:ilvl w:val="1"/>
          <w:numId w:val="44"/>
        </w:numPr>
        <w:spacing w:after="240"/>
        <w:rPr>
          <w:szCs w:val="24"/>
        </w:rPr>
      </w:pPr>
      <w:r>
        <w:rPr>
          <w:rFonts w:ascii="ArialMT" w:hAnsi="ArialMT" w:cs="ArialMT"/>
          <w:szCs w:val="24"/>
          <w:lang w:eastAsia="en-GB"/>
        </w:rPr>
        <w:t>the expenditure is wholly covered by additional external sources;</w:t>
      </w:r>
    </w:p>
    <w:p w:rsidR="00E6414C" w:rsidRPr="004F40B6" w:rsidRDefault="00E6414C" w:rsidP="00D80B11">
      <w:pPr>
        <w:pStyle w:val="ListParagraph"/>
        <w:numPr>
          <w:ilvl w:val="1"/>
          <w:numId w:val="44"/>
        </w:numPr>
        <w:autoSpaceDE w:val="0"/>
        <w:autoSpaceDN w:val="0"/>
        <w:adjustRightInd w:val="0"/>
        <w:spacing w:after="240"/>
        <w:rPr>
          <w:szCs w:val="24"/>
        </w:rPr>
      </w:pPr>
      <w:r w:rsidRPr="004F40B6">
        <w:rPr>
          <w:rFonts w:ascii="ArialMT" w:hAnsi="ArialMT" w:cs="ArialMT"/>
          <w:szCs w:val="24"/>
          <w:lang w:eastAsia="en-GB"/>
        </w:rPr>
        <w:t>the expenditure is in accordance with at least one of the priorities listed in the capital</w:t>
      </w:r>
      <w:r w:rsidRPr="006A6C96">
        <w:rPr>
          <w:rFonts w:ascii="ArialMT" w:hAnsi="ArialMT" w:cs="ArialMT"/>
          <w:szCs w:val="24"/>
          <w:lang w:eastAsia="en-GB"/>
        </w:rPr>
        <w:t xml:space="preserve"> programme</w:t>
      </w:r>
      <w:r>
        <w:rPr>
          <w:rFonts w:ascii="ArialMT" w:hAnsi="ArialMT" w:cs="ArialMT"/>
          <w:szCs w:val="24"/>
          <w:lang w:eastAsia="en-GB"/>
        </w:rPr>
        <w:t>; and</w:t>
      </w:r>
    </w:p>
    <w:p w:rsidR="00E6414C" w:rsidRPr="004F40B6" w:rsidRDefault="00E6414C" w:rsidP="00D80B11">
      <w:pPr>
        <w:pStyle w:val="ListParagraph"/>
        <w:numPr>
          <w:ilvl w:val="1"/>
          <w:numId w:val="44"/>
        </w:numPr>
        <w:autoSpaceDE w:val="0"/>
        <w:autoSpaceDN w:val="0"/>
        <w:adjustRightInd w:val="0"/>
        <w:spacing w:after="240"/>
        <w:rPr>
          <w:szCs w:val="24"/>
        </w:rPr>
      </w:pPr>
      <w:r>
        <w:rPr>
          <w:rFonts w:ascii="ArialMT" w:hAnsi="ArialMT" w:cs="ArialMT"/>
          <w:szCs w:val="24"/>
          <w:lang w:eastAsia="en-GB"/>
        </w:rPr>
        <w:t>there are no significant full year revenue budget effects</w:t>
      </w:r>
    </w:p>
    <w:p w:rsidR="0096570D" w:rsidRDefault="00E6414C" w:rsidP="0096570D">
      <w:pPr>
        <w:autoSpaceDE w:val="0"/>
        <w:autoSpaceDN w:val="0"/>
        <w:adjustRightInd w:val="0"/>
        <w:spacing w:after="240"/>
        <w:ind w:left="709"/>
        <w:rPr>
          <w:szCs w:val="24"/>
        </w:rPr>
      </w:pPr>
      <w:r>
        <w:rPr>
          <w:szCs w:val="24"/>
        </w:rPr>
        <w:t xml:space="preserve">This provision is subject to an overall limit of £2.5m in any one financial year. </w:t>
      </w:r>
      <w:r w:rsidR="0096570D">
        <w:rPr>
          <w:szCs w:val="24"/>
        </w:rPr>
        <w:t>The addition proposed in this report meets all these requirements.</w:t>
      </w:r>
    </w:p>
    <w:p w:rsidR="00741AEB" w:rsidRPr="006B1DE1" w:rsidRDefault="00741AEB" w:rsidP="00741AEB">
      <w:pPr>
        <w:pStyle w:val="ListParagraph"/>
        <w:spacing w:after="240"/>
        <w:ind w:hanging="786"/>
        <w:rPr>
          <w:b/>
          <w:sz w:val="28"/>
          <w:szCs w:val="28"/>
        </w:rPr>
      </w:pPr>
      <w:r w:rsidRPr="006B1DE1">
        <w:rPr>
          <w:b/>
          <w:sz w:val="28"/>
          <w:szCs w:val="28"/>
        </w:rPr>
        <w:t>Equalities</w:t>
      </w:r>
    </w:p>
    <w:p w:rsidR="00741AEB" w:rsidRPr="00374CD9" w:rsidRDefault="00741AEB" w:rsidP="00C6530C">
      <w:pPr>
        <w:numPr>
          <w:ilvl w:val="0"/>
          <w:numId w:val="9"/>
        </w:numPr>
        <w:spacing w:after="240"/>
        <w:ind w:hanging="720"/>
      </w:pPr>
      <w:r w:rsidRPr="00374CD9">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rsidR="00741AEB" w:rsidRPr="006B1DE1" w:rsidRDefault="00741AEB" w:rsidP="00C6530C">
      <w:pPr>
        <w:numPr>
          <w:ilvl w:val="0"/>
          <w:numId w:val="9"/>
        </w:numPr>
        <w:spacing w:after="240"/>
        <w:ind w:hanging="720"/>
        <w:rPr>
          <w:szCs w:val="24"/>
        </w:rPr>
      </w:pPr>
      <w:r w:rsidRPr="00374CD9">
        <w:t>A public authority must, in the exercise of its functions, have due regard to the</w:t>
      </w:r>
      <w:r w:rsidRPr="006B1DE1">
        <w:rPr>
          <w:szCs w:val="24"/>
        </w:rPr>
        <w:t xml:space="preserve"> need to:</w:t>
      </w:r>
    </w:p>
    <w:p w:rsidR="00741AEB" w:rsidRPr="006B1DE1" w:rsidRDefault="00741AEB" w:rsidP="00741AEB">
      <w:pPr>
        <w:pStyle w:val="ListParagraph"/>
        <w:spacing w:after="240"/>
        <w:jc w:val="both"/>
        <w:rPr>
          <w:szCs w:val="24"/>
        </w:rPr>
      </w:pPr>
      <w:r w:rsidRPr="006B1DE1">
        <w:rPr>
          <w:szCs w:val="24"/>
        </w:rPr>
        <w:t xml:space="preserve">(a)     </w:t>
      </w:r>
      <w:proofErr w:type="gramStart"/>
      <w:r w:rsidRPr="006B1DE1">
        <w:rPr>
          <w:szCs w:val="24"/>
        </w:rPr>
        <w:t>eliminate</w:t>
      </w:r>
      <w:proofErr w:type="gramEnd"/>
      <w:r w:rsidRPr="006B1DE1">
        <w:rPr>
          <w:szCs w:val="24"/>
        </w:rPr>
        <w:t xml:space="preserve"> discrimination, harassment, victimisation and any other conduct that is prohibited by or under this Act;</w:t>
      </w:r>
    </w:p>
    <w:p w:rsidR="00741AEB" w:rsidRPr="006B1DE1" w:rsidRDefault="00741AEB" w:rsidP="00741AEB">
      <w:pPr>
        <w:spacing w:after="240"/>
        <w:ind w:left="720"/>
        <w:jc w:val="both"/>
        <w:rPr>
          <w:szCs w:val="24"/>
        </w:rPr>
      </w:pPr>
      <w:r w:rsidRPr="006B1DE1">
        <w:rPr>
          <w:szCs w:val="24"/>
        </w:rPr>
        <w:t xml:space="preserve">(b)     </w:t>
      </w:r>
      <w:proofErr w:type="gramStart"/>
      <w:r w:rsidRPr="006B1DE1">
        <w:rPr>
          <w:szCs w:val="24"/>
        </w:rPr>
        <w:t>advance</w:t>
      </w:r>
      <w:proofErr w:type="gramEnd"/>
      <w:r w:rsidRPr="006B1DE1">
        <w:rPr>
          <w:szCs w:val="24"/>
        </w:rPr>
        <w:t xml:space="preserve"> equality of opportunity between persons who share a relevant protected characteristic and persons who do not share it;</w:t>
      </w:r>
    </w:p>
    <w:p w:rsidR="00741AEB" w:rsidRPr="006B1DE1" w:rsidRDefault="00741AEB" w:rsidP="00741AEB">
      <w:pPr>
        <w:spacing w:after="240"/>
        <w:ind w:left="720"/>
        <w:jc w:val="both"/>
        <w:rPr>
          <w:szCs w:val="24"/>
        </w:rPr>
      </w:pPr>
      <w:r w:rsidRPr="006B1DE1">
        <w:rPr>
          <w:szCs w:val="24"/>
        </w:rPr>
        <w:t xml:space="preserve">(c)     </w:t>
      </w:r>
      <w:proofErr w:type="gramStart"/>
      <w:r w:rsidRPr="006B1DE1">
        <w:rPr>
          <w:szCs w:val="24"/>
        </w:rPr>
        <w:t>foster</w:t>
      </w:r>
      <w:proofErr w:type="gramEnd"/>
      <w:r w:rsidRPr="006B1DE1">
        <w:rPr>
          <w:szCs w:val="24"/>
        </w:rPr>
        <w:t xml:space="preserve"> good relations between persons who share a relevant protected characteristic and persons who do not share it.</w:t>
      </w:r>
    </w:p>
    <w:p w:rsidR="00741AEB" w:rsidRPr="006B1DE1" w:rsidRDefault="00741AEB" w:rsidP="00C6530C">
      <w:pPr>
        <w:numPr>
          <w:ilvl w:val="0"/>
          <w:numId w:val="9"/>
        </w:numPr>
        <w:spacing w:after="240"/>
        <w:ind w:hanging="720"/>
        <w:rPr>
          <w:szCs w:val="24"/>
        </w:rPr>
      </w:pPr>
      <w:r w:rsidRPr="00A969AA">
        <w:t>Having</w:t>
      </w:r>
      <w:r w:rsidRPr="006B1DE1">
        <w:rPr>
          <w:szCs w:val="24"/>
        </w:rPr>
        <w:t xml:space="preserve"> due regard to the need to advance equality of opportunity between persons who share a relevant protected characteristic and persons who do not share it involves having due regard, in particular, to the need to:</w:t>
      </w:r>
    </w:p>
    <w:p w:rsidR="00741AEB" w:rsidRPr="006B1DE1" w:rsidRDefault="00741AEB" w:rsidP="00741AEB">
      <w:pPr>
        <w:spacing w:after="240"/>
        <w:ind w:left="720"/>
        <w:jc w:val="both"/>
        <w:rPr>
          <w:szCs w:val="24"/>
        </w:rPr>
      </w:pPr>
      <w:r w:rsidRPr="006B1DE1">
        <w:rPr>
          <w:szCs w:val="24"/>
        </w:rPr>
        <w:lastRenderedPageBreak/>
        <w:t xml:space="preserve">(a)     </w:t>
      </w:r>
      <w:proofErr w:type="gramStart"/>
      <w:r w:rsidRPr="006B1DE1">
        <w:rPr>
          <w:szCs w:val="24"/>
        </w:rPr>
        <w:t>remove</w:t>
      </w:r>
      <w:proofErr w:type="gramEnd"/>
      <w:r w:rsidRPr="006B1DE1">
        <w:rPr>
          <w:szCs w:val="24"/>
        </w:rPr>
        <w:t xml:space="preserve"> or minimise disadvantages suffered by persons who share a relevant protected characteristic that are connected to that characteristic;</w:t>
      </w:r>
    </w:p>
    <w:p w:rsidR="00741AEB" w:rsidRPr="006B1DE1" w:rsidRDefault="00741AEB" w:rsidP="00741AEB">
      <w:pPr>
        <w:spacing w:after="240"/>
        <w:ind w:left="720"/>
        <w:jc w:val="both"/>
        <w:rPr>
          <w:szCs w:val="24"/>
        </w:rPr>
      </w:pPr>
      <w:r w:rsidRPr="006B1DE1">
        <w:rPr>
          <w:szCs w:val="24"/>
        </w:rPr>
        <w:t xml:space="preserve">(b)       </w:t>
      </w:r>
      <w:proofErr w:type="gramStart"/>
      <w:r w:rsidRPr="006B1DE1">
        <w:rPr>
          <w:szCs w:val="24"/>
        </w:rPr>
        <w:t>take</w:t>
      </w:r>
      <w:proofErr w:type="gramEnd"/>
      <w:r w:rsidRPr="006B1DE1">
        <w:rPr>
          <w:szCs w:val="24"/>
        </w:rPr>
        <w:t xml:space="preserve"> steps to meet the needs of persons who share a relevant protected characteristic that are different from the needs of persons who do not share it;</w:t>
      </w:r>
    </w:p>
    <w:p w:rsidR="00741AEB" w:rsidRPr="006B1DE1" w:rsidRDefault="00741AEB" w:rsidP="00741AEB">
      <w:pPr>
        <w:spacing w:after="240"/>
        <w:ind w:left="720"/>
        <w:jc w:val="both"/>
        <w:rPr>
          <w:szCs w:val="24"/>
        </w:rPr>
      </w:pPr>
      <w:r w:rsidRPr="006B1DE1">
        <w:rPr>
          <w:szCs w:val="24"/>
        </w:rPr>
        <w:t xml:space="preserve">(c)    </w:t>
      </w:r>
      <w:proofErr w:type="gramStart"/>
      <w:r w:rsidRPr="006B1DE1">
        <w:rPr>
          <w:szCs w:val="24"/>
        </w:rPr>
        <w:t>encourage</w:t>
      </w:r>
      <w:proofErr w:type="gramEnd"/>
      <w:r w:rsidRPr="006B1DE1">
        <w:rPr>
          <w:szCs w:val="24"/>
        </w:rPr>
        <w:t xml:space="preserve"> persons who share a relevant protected characteristic to participate in public life or in any other activity in which participation by such persons is disproportionately low.</w:t>
      </w:r>
    </w:p>
    <w:p w:rsidR="00741AEB" w:rsidRPr="006B1DE1" w:rsidRDefault="00741AEB" w:rsidP="00C6530C">
      <w:pPr>
        <w:numPr>
          <w:ilvl w:val="0"/>
          <w:numId w:val="9"/>
        </w:numPr>
        <w:spacing w:after="240"/>
        <w:ind w:hanging="720"/>
        <w:rPr>
          <w:szCs w:val="24"/>
        </w:rPr>
      </w:pPr>
      <w:r w:rsidRPr="00A969AA">
        <w:t>The</w:t>
      </w:r>
      <w:r w:rsidRPr="006B1DE1">
        <w:rPr>
          <w:szCs w:val="24"/>
        </w:rPr>
        <w:t xml:space="preserve"> steps involved in meeting the needs of disabled persons that are different from the needs of persons who are not disabled include, in particular, steps to take account of disabled persons’ disabilities.</w:t>
      </w:r>
    </w:p>
    <w:p w:rsidR="00741AEB" w:rsidRPr="006B1DE1" w:rsidRDefault="00741AEB" w:rsidP="00C6530C">
      <w:pPr>
        <w:numPr>
          <w:ilvl w:val="0"/>
          <w:numId w:val="9"/>
        </w:numPr>
        <w:spacing w:after="240"/>
        <w:ind w:hanging="720"/>
        <w:rPr>
          <w:szCs w:val="24"/>
        </w:rPr>
      </w:pPr>
      <w:r w:rsidRPr="00A969AA">
        <w:t>Having</w:t>
      </w:r>
      <w:r w:rsidRPr="006B1DE1">
        <w:rPr>
          <w:szCs w:val="24"/>
        </w:rPr>
        <w:t xml:space="preserve"> </w:t>
      </w:r>
      <w:r w:rsidRPr="0031658B">
        <w:t>due</w:t>
      </w:r>
      <w:r w:rsidRPr="006B1DE1">
        <w:rPr>
          <w:szCs w:val="24"/>
        </w:rPr>
        <w:t xml:space="preserve"> regard to the need to foster good relations between persons who share a relevant protected characteristic and persons who do not share it involves having due regard, in particular, to the need to:</w:t>
      </w:r>
    </w:p>
    <w:p w:rsidR="00741AEB" w:rsidRPr="006B1DE1" w:rsidRDefault="00741AEB" w:rsidP="002774F4">
      <w:pPr>
        <w:pStyle w:val="ListParagraph"/>
        <w:numPr>
          <w:ilvl w:val="3"/>
          <w:numId w:val="6"/>
        </w:numPr>
        <w:spacing w:after="240"/>
        <w:ind w:left="851" w:hanging="425"/>
        <w:jc w:val="both"/>
        <w:rPr>
          <w:szCs w:val="24"/>
        </w:rPr>
      </w:pPr>
      <w:r w:rsidRPr="006B1DE1">
        <w:rPr>
          <w:szCs w:val="24"/>
        </w:rPr>
        <w:t>Tackle prejudice, and</w:t>
      </w:r>
    </w:p>
    <w:p w:rsidR="00741AEB" w:rsidRPr="006B1DE1" w:rsidRDefault="00741AEB" w:rsidP="002774F4">
      <w:pPr>
        <w:pStyle w:val="ListParagraph"/>
        <w:numPr>
          <w:ilvl w:val="3"/>
          <w:numId w:val="6"/>
        </w:numPr>
        <w:spacing w:after="240"/>
        <w:ind w:left="851" w:hanging="425"/>
        <w:jc w:val="both"/>
        <w:rPr>
          <w:szCs w:val="24"/>
        </w:rPr>
      </w:pPr>
      <w:r w:rsidRPr="006B1DE1">
        <w:rPr>
          <w:szCs w:val="24"/>
        </w:rPr>
        <w:t>Promote understanding.</w:t>
      </w:r>
    </w:p>
    <w:p w:rsidR="00741AEB" w:rsidRPr="006B1DE1" w:rsidRDefault="00741AEB" w:rsidP="00C6530C">
      <w:pPr>
        <w:numPr>
          <w:ilvl w:val="0"/>
          <w:numId w:val="9"/>
        </w:numPr>
        <w:spacing w:after="240"/>
        <w:ind w:hanging="720"/>
        <w:rPr>
          <w:szCs w:val="24"/>
        </w:rPr>
      </w:pPr>
      <w:r w:rsidRPr="00A969AA">
        <w:t>Compliance</w:t>
      </w:r>
      <w:r w:rsidRPr="006B1DE1">
        <w:rPr>
          <w:szCs w:val="24"/>
        </w:rPr>
        <w:t xml:space="preserve"> with the duties in this section may involve treating some persons more favourably than others; but that is not to be taken as permitting conduct that would otherwise be prohibited by or under this Act. The relevant protected characteristics are:</w:t>
      </w:r>
    </w:p>
    <w:p w:rsidR="00741AEB" w:rsidRPr="006B1DE1" w:rsidRDefault="00741AEB" w:rsidP="002774F4">
      <w:pPr>
        <w:pStyle w:val="ListParagraph"/>
        <w:numPr>
          <w:ilvl w:val="0"/>
          <w:numId w:val="5"/>
        </w:numPr>
        <w:spacing w:after="240"/>
        <w:jc w:val="both"/>
        <w:rPr>
          <w:szCs w:val="24"/>
        </w:rPr>
      </w:pPr>
      <w:r w:rsidRPr="006B1DE1">
        <w:rPr>
          <w:szCs w:val="24"/>
        </w:rPr>
        <w:t>Age</w:t>
      </w:r>
    </w:p>
    <w:p w:rsidR="00741AEB" w:rsidRPr="006B1DE1" w:rsidRDefault="00741AEB" w:rsidP="002774F4">
      <w:pPr>
        <w:pStyle w:val="ListParagraph"/>
        <w:numPr>
          <w:ilvl w:val="0"/>
          <w:numId w:val="5"/>
        </w:numPr>
        <w:spacing w:after="240"/>
        <w:jc w:val="both"/>
        <w:rPr>
          <w:szCs w:val="24"/>
        </w:rPr>
      </w:pPr>
      <w:r w:rsidRPr="006B1DE1">
        <w:rPr>
          <w:szCs w:val="24"/>
        </w:rPr>
        <w:t>Disability</w:t>
      </w:r>
    </w:p>
    <w:p w:rsidR="00741AEB" w:rsidRPr="006B1DE1" w:rsidRDefault="00741AEB" w:rsidP="002774F4">
      <w:pPr>
        <w:pStyle w:val="ListParagraph"/>
        <w:numPr>
          <w:ilvl w:val="0"/>
          <w:numId w:val="5"/>
        </w:numPr>
        <w:spacing w:after="240"/>
        <w:jc w:val="both"/>
        <w:rPr>
          <w:szCs w:val="24"/>
        </w:rPr>
      </w:pPr>
      <w:r w:rsidRPr="006B1DE1">
        <w:rPr>
          <w:szCs w:val="24"/>
        </w:rPr>
        <w:t>Gender reassignment</w:t>
      </w:r>
    </w:p>
    <w:p w:rsidR="00741AEB" w:rsidRPr="006B1DE1" w:rsidRDefault="00741AEB" w:rsidP="002774F4">
      <w:pPr>
        <w:pStyle w:val="ListParagraph"/>
        <w:numPr>
          <w:ilvl w:val="0"/>
          <w:numId w:val="5"/>
        </w:numPr>
        <w:spacing w:after="240"/>
        <w:jc w:val="both"/>
        <w:rPr>
          <w:szCs w:val="24"/>
        </w:rPr>
      </w:pPr>
      <w:r w:rsidRPr="006B1DE1">
        <w:rPr>
          <w:szCs w:val="24"/>
        </w:rPr>
        <w:t>Pregnancy and maternity</w:t>
      </w:r>
    </w:p>
    <w:p w:rsidR="00741AEB" w:rsidRPr="006B1DE1" w:rsidRDefault="00741AEB" w:rsidP="002774F4">
      <w:pPr>
        <w:pStyle w:val="ListParagraph"/>
        <w:numPr>
          <w:ilvl w:val="0"/>
          <w:numId w:val="5"/>
        </w:numPr>
        <w:spacing w:after="240"/>
        <w:jc w:val="both"/>
        <w:rPr>
          <w:szCs w:val="24"/>
        </w:rPr>
      </w:pPr>
      <w:r w:rsidRPr="006B1DE1">
        <w:rPr>
          <w:szCs w:val="24"/>
        </w:rPr>
        <w:t>Race,</w:t>
      </w:r>
    </w:p>
    <w:p w:rsidR="00741AEB" w:rsidRPr="006B1DE1" w:rsidRDefault="00741AEB" w:rsidP="002774F4">
      <w:pPr>
        <w:pStyle w:val="ListParagraph"/>
        <w:numPr>
          <w:ilvl w:val="0"/>
          <w:numId w:val="5"/>
        </w:numPr>
        <w:spacing w:after="240"/>
        <w:jc w:val="both"/>
        <w:rPr>
          <w:szCs w:val="24"/>
        </w:rPr>
      </w:pPr>
      <w:r w:rsidRPr="006B1DE1">
        <w:rPr>
          <w:szCs w:val="24"/>
        </w:rPr>
        <w:t>Religion or belief</w:t>
      </w:r>
    </w:p>
    <w:p w:rsidR="00741AEB" w:rsidRPr="006B1DE1" w:rsidRDefault="00741AEB" w:rsidP="002774F4">
      <w:pPr>
        <w:pStyle w:val="ListParagraph"/>
        <w:numPr>
          <w:ilvl w:val="0"/>
          <w:numId w:val="5"/>
        </w:numPr>
        <w:spacing w:after="240"/>
        <w:jc w:val="both"/>
        <w:rPr>
          <w:szCs w:val="24"/>
        </w:rPr>
      </w:pPr>
      <w:r w:rsidRPr="006B1DE1">
        <w:rPr>
          <w:szCs w:val="24"/>
        </w:rPr>
        <w:t>Sex</w:t>
      </w:r>
    </w:p>
    <w:p w:rsidR="00741AEB" w:rsidRPr="006B1DE1" w:rsidRDefault="00741AEB" w:rsidP="002774F4">
      <w:pPr>
        <w:pStyle w:val="ListParagraph"/>
        <w:numPr>
          <w:ilvl w:val="0"/>
          <w:numId w:val="5"/>
        </w:numPr>
        <w:spacing w:after="240"/>
        <w:jc w:val="both"/>
        <w:rPr>
          <w:szCs w:val="24"/>
        </w:rPr>
      </w:pPr>
      <w:r w:rsidRPr="006B1DE1">
        <w:rPr>
          <w:szCs w:val="24"/>
        </w:rPr>
        <w:t>Sexual orientation</w:t>
      </w:r>
    </w:p>
    <w:p w:rsidR="00741AEB" w:rsidRDefault="00741AEB" w:rsidP="002774F4">
      <w:pPr>
        <w:pStyle w:val="ListParagraph"/>
        <w:numPr>
          <w:ilvl w:val="0"/>
          <w:numId w:val="5"/>
        </w:numPr>
        <w:spacing w:after="240"/>
        <w:jc w:val="both"/>
        <w:rPr>
          <w:szCs w:val="24"/>
        </w:rPr>
      </w:pPr>
      <w:r w:rsidRPr="006B1DE1">
        <w:rPr>
          <w:szCs w:val="24"/>
        </w:rPr>
        <w:t xml:space="preserve">Marriage and Civil partnership       </w:t>
      </w:r>
    </w:p>
    <w:p w:rsidR="00AD73E5" w:rsidRPr="006B1DE1" w:rsidRDefault="00AD73E5" w:rsidP="00AD73E5">
      <w:pPr>
        <w:numPr>
          <w:ilvl w:val="0"/>
          <w:numId w:val="9"/>
        </w:numPr>
        <w:spacing w:after="240"/>
        <w:ind w:hanging="720"/>
        <w:rPr>
          <w:rFonts w:cs="Arial"/>
          <w:szCs w:val="24"/>
        </w:rPr>
      </w:pPr>
      <w:r w:rsidRPr="006B1DE1">
        <w:t>A full equalities impact assessment was completed on the 2015/16 budget when the budget was set by Full Council. Equalities implications are taken into account by individual directorates whilst running services and making decisions to vire money. A full equality impact assessment will be completed on the budget for 2016/17.</w:t>
      </w:r>
    </w:p>
    <w:p w:rsidR="001A5768" w:rsidRDefault="001A5768" w:rsidP="00741AEB">
      <w:pPr>
        <w:pStyle w:val="Heading2"/>
      </w:pPr>
    </w:p>
    <w:p w:rsidR="00741AEB" w:rsidRPr="006B1DE1" w:rsidRDefault="00741AEB" w:rsidP="00741AEB">
      <w:pPr>
        <w:pStyle w:val="Heading2"/>
      </w:pPr>
      <w:r w:rsidRPr="006B1DE1">
        <w:lastRenderedPageBreak/>
        <w:t>Financial Implications</w:t>
      </w:r>
    </w:p>
    <w:p w:rsidR="00741AEB" w:rsidRPr="006B1DE1" w:rsidRDefault="00374CD9" w:rsidP="00C6530C">
      <w:pPr>
        <w:numPr>
          <w:ilvl w:val="0"/>
          <w:numId w:val="9"/>
        </w:numPr>
        <w:spacing w:after="240"/>
        <w:ind w:hanging="720"/>
      </w:pPr>
      <w:r>
        <w:t>F</w:t>
      </w:r>
      <w:r w:rsidR="00741AEB" w:rsidRPr="006B1DE1">
        <w:t>inancial matters are integral to the report.</w:t>
      </w:r>
    </w:p>
    <w:p w:rsidR="00741AEB" w:rsidRPr="006B1DE1" w:rsidRDefault="00741AEB" w:rsidP="00741AEB">
      <w:pPr>
        <w:pStyle w:val="Heading2"/>
      </w:pPr>
      <w:r w:rsidRPr="006B1DE1">
        <w:t>Performance Issues</w:t>
      </w:r>
    </w:p>
    <w:p w:rsidR="00741AEB" w:rsidRPr="006B1DE1" w:rsidRDefault="00741AEB" w:rsidP="00C6530C">
      <w:pPr>
        <w:numPr>
          <w:ilvl w:val="0"/>
          <w:numId w:val="9"/>
        </w:numPr>
        <w:spacing w:after="240"/>
        <w:ind w:hanging="720"/>
      </w:pPr>
      <w:r w:rsidRPr="006B1DE1">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rsidR="00741AEB" w:rsidRPr="006B1DE1" w:rsidRDefault="00741AEB" w:rsidP="00C6530C">
      <w:pPr>
        <w:numPr>
          <w:ilvl w:val="0"/>
          <w:numId w:val="9"/>
        </w:numPr>
        <w:spacing w:after="240"/>
        <w:ind w:hanging="720"/>
      </w:pPr>
      <w:r w:rsidRPr="006B1DE1">
        <w:t>The overall projected percentage variance from the revenue budget</w:t>
      </w:r>
      <w:r w:rsidR="00AC55F8">
        <w:t xml:space="preserve"> for directorate budgets </w:t>
      </w:r>
      <w:r w:rsidRPr="006B1DE1">
        <w:t xml:space="preserve">is currently forecast to be </w:t>
      </w:r>
      <w:proofErr w:type="gramStart"/>
      <w:r w:rsidRPr="006B1DE1">
        <w:t>an overspend</w:t>
      </w:r>
      <w:proofErr w:type="gramEnd"/>
      <w:r w:rsidRPr="006B1DE1">
        <w:t xml:space="preserve"> of </w:t>
      </w:r>
      <w:r w:rsidR="00AC55F8">
        <w:t>1</w:t>
      </w:r>
      <w:r w:rsidRPr="006B1DE1">
        <w:t xml:space="preserve">.1%.  </w:t>
      </w:r>
    </w:p>
    <w:p w:rsidR="00741AEB" w:rsidRPr="006B1DE1" w:rsidRDefault="00741AEB" w:rsidP="00C6530C">
      <w:pPr>
        <w:numPr>
          <w:ilvl w:val="0"/>
          <w:numId w:val="9"/>
        </w:numPr>
        <w:spacing w:after="240"/>
        <w:ind w:hanging="720"/>
      </w:pPr>
      <w:r w:rsidRPr="006B1DE1">
        <w:t>For the 2015/16 savings built into the MTFS, the overall position is that 40% of the savings are RAG rated as blue (achieved and banked),  2</w:t>
      </w:r>
      <w:r w:rsidR="001B10B1">
        <w:t>8</w:t>
      </w:r>
      <w:r w:rsidRPr="006B1DE1">
        <w:t xml:space="preserve">% green (achievement of saving on track), </w:t>
      </w:r>
      <w:r w:rsidR="001B10B1">
        <w:t>29</w:t>
      </w:r>
      <w:r w:rsidRPr="006B1DE1">
        <w:t xml:space="preserve">% amber (saving only partially achieved or risks remaining)  and </w:t>
      </w:r>
      <w:r w:rsidR="001C64C0">
        <w:t>3</w:t>
      </w:r>
      <w:r w:rsidRPr="006B1DE1">
        <w:t>% red (agreed saving not achievable).</w:t>
      </w:r>
    </w:p>
    <w:p w:rsidR="00741AEB" w:rsidRPr="006B1DE1" w:rsidRDefault="00741AEB" w:rsidP="00C6530C">
      <w:pPr>
        <w:numPr>
          <w:ilvl w:val="0"/>
          <w:numId w:val="9"/>
        </w:numPr>
        <w:spacing w:after="240"/>
        <w:ind w:hanging="720"/>
      </w:pPr>
      <w:r w:rsidRPr="006B1DE1">
        <w:t xml:space="preserve">There is a performance target of 90% of the approved capital programme for 2015/16 being spent in year. The current projection is for </w:t>
      </w:r>
      <w:proofErr w:type="gramStart"/>
      <w:r w:rsidRPr="006B1DE1">
        <w:t>spend</w:t>
      </w:r>
      <w:proofErr w:type="gramEnd"/>
      <w:r w:rsidRPr="006B1DE1">
        <w:t xml:space="preserve"> to be </w:t>
      </w:r>
      <w:r w:rsidR="001B10B1">
        <w:t>74%</w:t>
      </w:r>
      <w:r w:rsidRPr="006B1DE1">
        <w:t xml:space="preserve"> of budget.  </w:t>
      </w:r>
    </w:p>
    <w:p w:rsidR="00741AEB" w:rsidRPr="00261BEE" w:rsidRDefault="00741AEB" w:rsidP="00C6530C">
      <w:pPr>
        <w:numPr>
          <w:ilvl w:val="0"/>
          <w:numId w:val="9"/>
        </w:numPr>
        <w:spacing w:after="240"/>
        <w:ind w:hanging="720"/>
      </w:pPr>
      <w:r w:rsidRPr="006B1DE1">
        <w:t xml:space="preserve">Council Tax Collection: </w:t>
      </w:r>
      <w:r w:rsidRPr="00AE517F">
        <w:t xml:space="preserve">The collection rate for Quarter </w:t>
      </w:r>
      <w:r w:rsidR="001B10B1" w:rsidRPr="00AE517F">
        <w:t>3</w:t>
      </w:r>
      <w:r w:rsidRPr="00AE517F">
        <w:t xml:space="preserve"> is </w:t>
      </w:r>
      <w:r w:rsidR="00261BEE" w:rsidRPr="00261BEE">
        <w:t>83.30</w:t>
      </w:r>
      <w:r w:rsidRPr="00261BEE">
        <w:t xml:space="preserve">% against a profile target of </w:t>
      </w:r>
      <w:r w:rsidR="00261BEE" w:rsidRPr="00261BEE">
        <w:t>84</w:t>
      </w:r>
      <w:r w:rsidRPr="00261BEE">
        <w:t>.00%</w:t>
      </w:r>
    </w:p>
    <w:p w:rsidR="00741AEB" w:rsidRPr="00261BEE" w:rsidRDefault="00741AEB" w:rsidP="00C6530C">
      <w:pPr>
        <w:numPr>
          <w:ilvl w:val="0"/>
          <w:numId w:val="9"/>
        </w:numPr>
        <w:spacing w:after="240"/>
        <w:ind w:hanging="720"/>
        <w:rPr>
          <w:b/>
          <w:sz w:val="28"/>
          <w:szCs w:val="28"/>
        </w:rPr>
      </w:pPr>
      <w:r w:rsidRPr="00261BEE">
        <w:t xml:space="preserve">Business Rates Collection: The collection rate for Quarter </w:t>
      </w:r>
      <w:r w:rsidR="001B10B1" w:rsidRPr="00261BEE">
        <w:t>3</w:t>
      </w:r>
      <w:r w:rsidRPr="00261BEE">
        <w:t xml:space="preserve"> is a collection rate of </w:t>
      </w:r>
      <w:r w:rsidR="00261BEE" w:rsidRPr="00261BEE">
        <w:t>82.38</w:t>
      </w:r>
      <w:r w:rsidRPr="00261BEE">
        <w:t xml:space="preserve">% against a profile target of </w:t>
      </w:r>
      <w:r w:rsidR="00261BEE" w:rsidRPr="00261BEE">
        <w:t>84.00</w:t>
      </w:r>
      <w:r w:rsidRPr="00261BEE">
        <w:t xml:space="preserve">%. </w:t>
      </w:r>
    </w:p>
    <w:p w:rsidR="00741AEB" w:rsidRPr="006B1DE1" w:rsidRDefault="00741AEB" w:rsidP="00741AEB">
      <w:pPr>
        <w:spacing w:after="240"/>
        <w:rPr>
          <w:b/>
          <w:sz w:val="28"/>
          <w:szCs w:val="28"/>
        </w:rPr>
      </w:pPr>
      <w:r w:rsidRPr="006B1DE1">
        <w:rPr>
          <w:b/>
          <w:sz w:val="28"/>
          <w:szCs w:val="28"/>
        </w:rPr>
        <w:t>Environmental Impact</w:t>
      </w:r>
    </w:p>
    <w:p w:rsidR="00741AEB" w:rsidRPr="006B1DE1" w:rsidRDefault="00741AEB" w:rsidP="00C6530C">
      <w:pPr>
        <w:numPr>
          <w:ilvl w:val="0"/>
          <w:numId w:val="9"/>
        </w:numPr>
        <w:spacing w:after="240"/>
        <w:ind w:hanging="720"/>
      </w:pPr>
      <w:r w:rsidRPr="006B1DE1">
        <w:t>There are none directly related to this report</w:t>
      </w:r>
    </w:p>
    <w:p w:rsidR="00741AEB" w:rsidRPr="006B1DE1" w:rsidRDefault="00741AEB" w:rsidP="00741AEB"/>
    <w:p w:rsidR="00741AEB" w:rsidRPr="006B1DE1" w:rsidRDefault="00741AEB" w:rsidP="00741AEB">
      <w:pPr>
        <w:rPr>
          <w:b/>
          <w:sz w:val="28"/>
          <w:szCs w:val="28"/>
        </w:rPr>
      </w:pPr>
      <w:r w:rsidRPr="006B1DE1">
        <w:rPr>
          <w:b/>
          <w:sz w:val="28"/>
          <w:szCs w:val="28"/>
        </w:rPr>
        <w:t>Risk Management Implications</w:t>
      </w:r>
    </w:p>
    <w:p w:rsidR="00741AEB" w:rsidRPr="00374CD9" w:rsidRDefault="00741AEB" w:rsidP="00C6530C">
      <w:pPr>
        <w:numPr>
          <w:ilvl w:val="0"/>
          <w:numId w:val="9"/>
        </w:numPr>
        <w:spacing w:after="240"/>
        <w:ind w:hanging="720"/>
      </w:pPr>
      <w:r w:rsidRPr="00374CD9">
        <w:t>The risks to the Council and how they are being managed are set out in the report.</w:t>
      </w:r>
    </w:p>
    <w:p w:rsidR="00741AEB" w:rsidRPr="006B1DE1" w:rsidRDefault="00741AEB" w:rsidP="00741AEB">
      <w:pPr>
        <w:pStyle w:val="ListParagraph"/>
        <w:keepNext/>
        <w:spacing w:after="240"/>
        <w:ind w:hanging="720"/>
        <w:rPr>
          <w:b/>
          <w:sz w:val="28"/>
          <w:szCs w:val="28"/>
        </w:rPr>
      </w:pPr>
      <w:r w:rsidRPr="00374CD9">
        <w:t>Risks are</w:t>
      </w:r>
      <w:r w:rsidRPr="001A7F3D">
        <w:rPr>
          <w:szCs w:val="24"/>
        </w:rPr>
        <w:t xml:space="preserve"> included on the Directorate risk </w:t>
      </w:r>
      <w:proofErr w:type="spellStart"/>
      <w:r w:rsidRPr="001A7F3D">
        <w:rPr>
          <w:szCs w:val="24"/>
        </w:rPr>
        <w:t>registers.</w:t>
      </w:r>
      <w:r w:rsidRPr="006B1DE1">
        <w:rPr>
          <w:b/>
          <w:sz w:val="28"/>
          <w:szCs w:val="28"/>
        </w:rPr>
        <w:t>Council</w:t>
      </w:r>
      <w:proofErr w:type="spellEnd"/>
      <w:r w:rsidRPr="006B1DE1">
        <w:rPr>
          <w:b/>
          <w:sz w:val="28"/>
          <w:szCs w:val="28"/>
        </w:rPr>
        <w:t xml:space="preserve"> Priorities</w:t>
      </w:r>
    </w:p>
    <w:p w:rsidR="00741AEB" w:rsidRPr="006B1DE1" w:rsidRDefault="00741AEB" w:rsidP="00C6530C">
      <w:pPr>
        <w:numPr>
          <w:ilvl w:val="0"/>
          <w:numId w:val="9"/>
        </w:numPr>
        <w:spacing w:after="240"/>
        <w:ind w:hanging="720"/>
        <w:rPr>
          <w:b/>
          <w:sz w:val="28"/>
          <w:szCs w:val="28"/>
        </w:rPr>
      </w:pPr>
      <w:r w:rsidRPr="00677491">
        <w:t>The</w:t>
      </w:r>
      <w:r w:rsidRPr="006B1DE1">
        <w:rPr>
          <w:rFonts w:cs="Arial"/>
          <w:szCs w:val="24"/>
        </w:rPr>
        <w:t xml:space="preserve"> </w:t>
      </w:r>
      <w:r w:rsidRPr="00A969AA">
        <w:t>Council’s</w:t>
      </w:r>
      <w:r w:rsidRPr="006B1DE1">
        <w:rPr>
          <w:rFonts w:cs="Arial"/>
          <w:szCs w:val="24"/>
        </w:rPr>
        <w:t xml:space="preserve"> vision is:</w:t>
      </w:r>
      <w:r w:rsidRPr="006B1DE1">
        <w:rPr>
          <w:rFonts w:cs="Arial"/>
          <w:szCs w:val="24"/>
        </w:rPr>
        <w:tab/>
      </w:r>
    </w:p>
    <w:p w:rsidR="00741AEB" w:rsidRPr="006B1DE1" w:rsidRDefault="00741AEB" w:rsidP="00741AEB">
      <w:pPr>
        <w:rPr>
          <w:rFonts w:cs="Arial"/>
          <w:szCs w:val="24"/>
        </w:rPr>
      </w:pPr>
    </w:p>
    <w:p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rsidR="00741AEB" w:rsidRPr="006B1DE1" w:rsidRDefault="00741AEB" w:rsidP="00741AEB">
      <w:pPr>
        <w:rPr>
          <w:rFonts w:cs="Arial"/>
          <w:szCs w:val="24"/>
        </w:rPr>
      </w:pPr>
    </w:p>
    <w:p w:rsidR="00741AEB" w:rsidRPr="006B1DE1" w:rsidRDefault="00741AEB" w:rsidP="00C6530C">
      <w:pPr>
        <w:numPr>
          <w:ilvl w:val="0"/>
          <w:numId w:val="9"/>
        </w:numPr>
        <w:spacing w:after="240"/>
        <w:ind w:hanging="720"/>
        <w:rPr>
          <w:rFonts w:cs="Arial"/>
          <w:szCs w:val="24"/>
        </w:rPr>
      </w:pPr>
      <w:r w:rsidRPr="006B1DE1">
        <w:rPr>
          <w:rFonts w:cs="Arial"/>
          <w:szCs w:val="24"/>
        </w:rPr>
        <w:t xml:space="preserve">The </w:t>
      </w:r>
      <w:r w:rsidRPr="0031658B">
        <w:rPr>
          <w:rFonts w:cs="Arial"/>
          <w:szCs w:val="24"/>
        </w:rPr>
        <w:t>Council’s</w:t>
      </w:r>
      <w:r w:rsidRPr="006B1DE1">
        <w:rPr>
          <w:rFonts w:cs="Arial"/>
          <w:szCs w:val="24"/>
        </w:rPr>
        <w:t xml:space="preserve"> priorities are:</w:t>
      </w:r>
    </w:p>
    <w:p w:rsidR="00741AEB" w:rsidRPr="006B1DE1" w:rsidRDefault="00741AEB" w:rsidP="00741AEB">
      <w:pPr>
        <w:jc w:val="both"/>
      </w:pPr>
    </w:p>
    <w:p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rsidR="00741AEB" w:rsidRPr="006B1DE1" w:rsidRDefault="00741AEB" w:rsidP="00741AEB">
      <w:pPr>
        <w:tabs>
          <w:tab w:val="left" w:pos="748"/>
        </w:tabs>
        <w:suppressAutoHyphens/>
        <w:ind w:left="1058" w:hanging="349"/>
        <w:jc w:val="both"/>
        <w:rPr>
          <w:rFonts w:cs="Arial"/>
          <w:szCs w:val="24"/>
        </w:rPr>
      </w:pPr>
      <w:r w:rsidRPr="006B1DE1">
        <w:rPr>
          <w:rFonts w:cs="Arial"/>
          <w:szCs w:val="24"/>
        </w:rPr>
        <w:lastRenderedPageBreak/>
        <w:t>Making a difference for local businesses</w:t>
      </w:r>
    </w:p>
    <w:p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p>
    <w:p w:rsidR="00741AEB" w:rsidRPr="006B1DE1" w:rsidRDefault="00741AEB" w:rsidP="00C6530C">
      <w:pPr>
        <w:numPr>
          <w:ilvl w:val="0"/>
          <w:numId w:val="9"/>
        </w:numPr>
        <w:spacing w:after="240"/>
        <w:ind w:hanging="720"/>
      </w:pPr>
      <w:r w:rsidRPr="006B1DE1">
        <w:t xml:space="preserve">This </w:t>
      </w:r>
      <w:r w:rsidRPr="0031658B">
        <w:rPr>
          <w:rFonts w:cs="Arial"/>
          <w:szCs w:val="24"/>
        </w:rPr>
        <w:t>report</w:t>
      </w:r>
      <w:r w:rsidRPr="006B1DE1">
        <w:t xml:space="preserve"> deals with Revenue and Capital monitoring which is </w:t>
      </w:r>
      <w:proofErr w:type="gramStart"/>
      <w:r w:rsidRPr="006B1DE1">
        <w:t>key</w:t>
      </w:r>
      <w:proofErr w:type="gramEnd"/>
      <w:r w:rsidRPr="006B1DE1">
        <w:t xml:space="preserve"> to delivering the infrastructure to deliver the Council’s priorities.</w:t>
      </w:r>
    </w:p>
    <w:p w:rsidR="00741AEB" w:rsidRPr="006B1DE1" w:rsidRDefault="00741AEB" w:rsidP="00741AEB"/>
    <w:p w:rsidR="00741AEB" w:rsidRPr="006B1DE1" w:rsidRDefault="00741AEB" w:rsidP="00741AEB">
      <w:pPr>
        <w:pStyle w:val="Heading1"/>
        <w:keepNext/>
      </w:pPr>
      <w:r w:rsidRPr="006B1DE1">
        <w:t>Section 3 - Statutory Officer Clearance</w:t>
      </w:r>
    </w:p>
    <w:p w:rsidR="00741AEB" w:rsidRPr="006B1DE1" w:rsidRDefault="00741AEB" w:rsidP="00741AEB">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419"/>
        <w:gridCol w:w="227"/>
        <w:gridCol w:w="3922"/>
      </w:tblGrid>
      <w:tr w:rsidR="00741AEB" w:rsidRPr="006B1DE1" w:rsidTr="00741AEB">
        <w:tc>
          <w:tcPr>
            <w:tcW w:w="2320" w:type="pct"/>
            <w:tcBorders>
              <w:bottom w:val="nil"/>
              <w:right w:val="nil"/>
            </w:tcBorders>
          </w:tcPr>
          <w:p w:rsidR="00741AEB" w:rsidRPr="006B1DE1" w:rsidRDefault="00741AEB" w:rsidP="00741AEB">
            <w:pPr>
              <w:pStyle w:val="Infotext"/>
            </w:pPr>
          </w:p>
          <w:p w:rsidR="00741AEB" w:rsidRPr="006B1DE1" w:rsidRDefault="00741AEB" w:rsidP="00741AEB">
            <w:pPr>
              <w:pStyle w:val="Infotext"/>
            </w:pPr>
          </w:p>
        </w:tc>
        <w:tc>
          <w:tcPr>
            <w:tcW w:w="246" w:type="pct"/>
            <w:tcBorders>
              <w:left w:val="nil"/>
              <w:right w:val="nil"/>
            </w:tcBorders>
          </w:tcPr>
          <w:p w:rsidR="00741AEB" w:rsidRPr="006B1DE1" w:rsidRDefault="00741AEB" w:rsidP="00741AEB">
            <w:pPr>
              <w:pStyle w:val="Infotext"/>
            </w:pPr>
          </w:p>
        </w:tc>
        <w:tc>
          <w:tcPr>
            <w:tcW w:w="133" w:type="pct"/>
            <w:tcBorders>
              <w:left w:val="nil"/>
              <w:bottom w:val="nil"/>
              <w:right w:val="nil"/>
            </w:tcBorders>
          </w:tcPr>
          <w:p w:rsidR="00741AEB" w:rsidRPr="006B1DE1" w:rsidRDefault="00741AEB" w:rsidP="00741AEB">
            <w:pPr>
              <w:pStyle w:val="Infotext"/>
            </w:pPr>
          </w:p>
        </w:tc>
        <w:tc>
          <w:tcPr>
            <w:tcW w:w="2300" w:type="pct"/>
            <w:tcBorders>
              <w:left w:val="nil"/>
              <w:bottom w:val="nil"/>
            </w:tcBorders>
          </w:tcPr>
          <w:p w:rsidR="00741AEB" w:rsidRPr="006B1DE1" w:rsidRDefault="00741AEB" w:rsidP="00741AEB">
            <w:pPr>
              <w:pStyle w:val="Infotext"/>
            </w:pPr>
          </w:p>
          <w:p w:rsidR="00741AEB" w:rsidRPr="006B1DE1" w:rsidRDefault="00741AEB" w:rsidP="00741AEB">
            <w:pPr>
              <w:pStyle w:val="Infotext"/>
            </w:pPr>
          </w:p>
        </w:tc>
      </w:tr>
      <w:tr w:rsidR="00741AEB" w:rsidRPr="006B1DE1" w:rsidTr="00741AEB">
        <w:tc>
          <w:tcPr>
            <w:tcW w:w="2320" w:type="pct"/>
            <w:tcBorders>
              <w:top w:val="nil"/>
              <w:bottom w:val="nil"/>
            </w:tcBorders>
          </w:tcPr>
          <w:p w:rsidR="00741AEB" w:rsidRPr="006B1DE1" w:rsidRDefault="00741AEB" w:rsidP="00741AEB">
            <w:pPr>
              <w:pStyle w:val="Infotext"/>
            </w:pPr>
            <w:r w:rsidRPr="006B1DE1">
              <w:t>Name: Dawn Calvert</w:t>
            </w:r>
          </w:p>
        </w:tc>
        <w:tc>
          <w:tcPr>
            <w:tcW w:w="246" w:type="pct"/>
            <w:tcBorders>
              <w:bottom w:val="single" w:sz="4" w:space="0" w:color="auto"/>
            </w:tcBorders>
          </w:tcPr>
          <w:p w:rsidR="00741AEB" w:rsidRPr="006B1DE1" w:rsidRDefault="00A03C12" w:rsidP="00741AEB">
            <w:pPr>
              <w:pStyle w:val="Infotext"/>
            </w:pPr>
            <w:r>
              <w:t>x</w:t>
            </w:r>
          </w:p>
        </w:tc>
        <w:tc>
          <w:tcPr>
            <w:tcW w:w="133" w:type="pct"/>
            <w:tcBorders>
              <w:top w:val="nil"/>
              <w:bottom w:val="nil"/>
              <w:right w:val="nil"/>
            </w:tcBorders>
          </w:tcPr>
          <w:p w:rsidR="00741AEB" w:rsidRPr="006B1DE1" w:rsidRDefault="00741AEB" w:rsidP="00741AEB">
            <w:pPr>
              <w:pStyle w:val="Infotext"/>
            </w:pPr>
          </w:p>
        </w:tc>
        <w:tc>
          <w:tcPr>
            <w:tcW w:w="2300" w:type="pct"/>
            <w:tcBorders>
              <w:top w:val="nil"/>
              <w:left w:val="nil"/>
              <w:bottom w:val="nil"/>
            </w:tcBorders>
          </w:tcPr>
          <w:p w:rsidR="00741AEB" w:rsidRPr="006B1DE1" w:rsidRDefault="00741AEB" w:rsidP="00741AEB">
            <w:pPr>
              <w:pStyle w:val="Infotext"/>
            </w:pPr>
            <w:r w:rsidRPr="006B1DE1">
              <w:t>Chief Financial Officer</w:t>
            </w:r>
          </w:p>
        </w:tc>
      </w:tr>
      <w:tr w:rsidR="00741AEB" w:rsidRPr="006B1DE1" w:rsidTr="00741AEB">
        <w:tc>
          <w:tcPr>
            <w:tcW w:w="2320" w:type="pct"/>
            <w:tcBorders>
              <w:top w:val="nil"/>
              <w:right w:val="nil"/>
            </w:tcBorders>
          </w:tcPr>
          <w:p w:rsidR="00741AEB" w:rsidRPr="006B1DE1" w:rsidRDefault="00741AEB" w:rsidP="00741AEB">
            <w:pPr>
              <w:pStyle w:val="Infotext"/>
            </w:pPr>
            <w:r w:rsidRPr="006B1DE1">
              <w:t xml:space="preserve"> </w:t>
            </w:r>
          </w:p>
          <w:p w:rsidR="00741AEB" w:rsidRPr="006B1DE1" w:rsidRDefault="00741AEB" w:rsidP="003F5751">
            <w:pPr>
              <w:pStyle w:val="Infotext"/>
            </w:pPr>
            <w:r w:rsidRPr="006B1DE1">
              <w:t xml:space="preserve">Date: </w:t>
            </w:r>
            <w:r w:rsidR="00530E7B">
              <w:t xml:space="preserve"> </w:t>
            </w:r>
            <w:r w:rsidR="00A03C12">
              <w:t>8</w:t>
            </w:r>
            <w:r w:rsidR="005F5F06">
              <w:t xml:space="preserve"> </w:t>
            </w:r>
            <w:r w:rsidR="003F5751">
              <w:t xml:space="preserve">February </w:t>
            </w:r>
            <w:r w:rsidR="005F5F06">
              <w:t>2016</w:t>
            </w:r>
          </w:p>
        </w:tc>
        <w:tc>
          <w:tcPr>
            <w:tcW w:w="246" w:type="pct"/>
            <w:tcBorders>
              <w:left w:val="nil"/>
              <w:bottom w:val="single" w:sz="4" w:space="0" w:color="auto"/>
              <w:right w:val="nil"/>
            </w:tcBorders>
          </w:tcPr>
          <w:p w:rsidR="00741AEB" w:rsidRPr="006B1DE1" w:rsidRDefault="00741AEB" w:rsidP="00741AEB">
            <w:pPr>
              <w:pStyle w:val="Infotext"/>
            </w:pPr>
          </w:p>
        </w:tc>
        <w:tc>
          <w:tcPr>
            <w:tcW w:w="133" w:type="pct"/>
            <w:tcBorders>
              <w:top w:val="nil"/>
              <w:left w:val="nil"/>
              <w:right w:val="nil"/>
            </w:tcBorders>
          </w:tcPr>
          <w:p w:rsidR="00741AEB" w:rsidRPr="006B1DE1" w:rsidRDefault="00741AEB" w:rsidP="00741AEB">
            <w:pPr>
              <w:pStyle w:val="Infotext"/>
            </w:pPr>
          </w:p>
        </w:tc>
        <w:tc>
          <w:tcPr>
            <w:tcW w:w="2300" w:type="pct"/>
            <w:tcBorders>
              <w:top w:val="nil"/>
              <w:left w:val="nil"/>
            </w:tcBorders>
          </w:tcPr>
          <w:p w:rsidR="00741AEB" w:rsidRPr="006B1DE1" w:rsidRDefault="00741AEB" w:rsidP="00741AEB">
            <w:pPr>
              <w:pStyle w:val="Infotext"/>
            </w:pPr>
          </w:p>
        </w:tc>
      </w:tr>
      <w:tr w:rsidR="00741AEB" w:rsidRPr="006B1DE1" w:rsidTr="00741AEB">
        <w:tc>
          <w:tcPr>
            <w:tcW w:w="2320" w:type="pct"/>
            <w:tcBorders>
              <w:bottom w:val="nil"/>
              <w:right w:val="nil"/>
            </w:tcBorders>
          </w:tcPr>
          <w:p w:rsidR="00741AEB" w:rsidRPr="006B1DE1" w:rsidRDefault="00741AEB" w:rsidP="00741AEB">
            <w:pPr>
              <w:pStyle w:val="Infotext"/>
            </w:pPr>
          </w:p>
          <w:p w:rsidR="00741AEB" w:rsidRPr="006B1DE1" w:rsidRDefault="00741AEB" w:rsidP="00741AEB">
            <w:pPr>
              <w:pStyle w:val="Infotext"/>
            </w:pPr>
          </w:p>
        </w:tc>
        <w:tc>
          <w:tcPr>
            <w:tcW w:w="246" w:type="pct"/>
            <w:tcBorders>
              <w:left w:val="nil"/>
              <w:right w:val="nil"/>
            </w:tcBorders>
          </w:tcPr>
          <w:p w:rsidR="00741AEB" w:rsidRPr="006B1DE1" w:rsidRDefault="00741AEB" w:rsidP="00741AEB">
            <w:pPr>
              <w:pStyle w:val="Infotext"/>
            </w:pPr>
          </w:p>
        </w:tc>
        <w:tc>
          <w:tcPr>
            <w:tcW w:w="133" w:type="pct"/>
            <w:tcBorders>
              <w:left w:val="nil"/>
              <w:bottom w:val="nil"/>
              <w:right w:val="nil"/>
            </w:tcBorders>
          </w:tcPr>
          <w:p w:rsidR="00741AEB" w:rsidRPr="006B1DE1" w:rsidRDefault="00741AEB" w:rsidP="00741AEB">
            <w:pPr>
              <w:pStyle w:val="Infotext"/>
            </w:pPr>
          </w:p>
        </w:tc>
        <w:tc>
          <w:tcPr>
            <w:tcW w:w="2300" w:type="pct"/>
            <w:tcBorders>
              <w:left w:val="nil"/>
              <w:bottom w:val="nil"/>
            </w:tcBorders>
          </w:tcPr>
          <w:p w:rsidR="00741AEB" w:rsidRPr="006B1DE1" w:rsidRDefault="00741AEB" w:rsidP="00741AEB">
            <w:pPr>
              <w:pStyle w:val="Infotext"/>
            </w:pPr>
          </w:p>
          <w:p w:rsidR="00741AEB" w:rsidRPr="006B1DE1" w:rsidRDefault="00741AEB" w:rsidP="00741AEB">
            <w:pPr>
              <w:pStyle w:val="Infotext"/>
            </w:pPr>
            <w:r w:rsidRPr="006B1DE1">
              <w:t>on behalf of the</w:t>
            </w:r>
          </w:p>
        </w:tc>
      </w:tr>
      <w:tr w:rsidR="00741AEB" w:rsidRPr="006B1DE1" w:rsidTr="00741AEB">
        <w:tc>
          <w:tcPr>
            <w:tcW w:w="2320" w:type="pct"/>
            <w:tcBorders>
              <w:top w:val="nil"/>
              <w:bottom w:val="nil"/>
            </w:tcBorders>
          </w:tcPr>
          <w:p w:rsidR="00741AEB" w:rsidRPr="006B1DE1" w:rsidRDefault="00741AEB" w:rsidP="00CE1C9A">
            <w:pPr>
              <w:pStyle w:val="Infotext"/>
            </w:pPr>
            <w:r w:rsidRPr="006B1DE1">
              <w:t xml:space="preserve">Name: </w:t>
            </w:r>
            <w:r w:rsidR="00E204CF">
              <w:t>Caroline Eccles</w:t>
            </w:r>
          </w:p>
        </w:tc>
        <w:tc>
          <w:tcPr>
            <w:tcW w:w="246" w:type="pct"/>
            <w:tcBorders>
              <w:bottom w:val="single" w:sz="4" w:space="0" w:color="auto"/>
            </w:tcBorders>
          </w:tcPr>
          <w:p w:rsidR="00741AEB" w:rsidRPr="006B1DE1" w:rsidRDefault="00E204CF" w:rsidP="00741AEB">
            <w:pPr>
              <w:pStyle w:val="Infotext"/>
            </w:pPr>
            <w:r>
              <w:t>x</w:t>
            </w:r>
          </w:p>
        </w:tc>
        <w:tc>
          <w:tcPr>
            <w:tcW w:w="133" w:type="pct"/>
            <w:tcBorders>
              <w:top w:val="nil"/>
              <w:bottom w:val="nil"/>
              <w:right w:val="nil"/>
            </w:tcBorders>
          </w:tcPr>
          <w:p w:rsidR="00741AEB" w:rsidRPr="006B1DE1" w:rsidRDefault="00741AEB" w:rsidP="00741AEB">
            <w:pPr>
              <w:pStyle w:val="Infotext"/>
            </w:pPr>
          </w:p>
        </w:tc>
        <w:tc>
          <w:tcPr>
            <w:tcW w:w="2300" w:type="pct"/>
            <w:tcBorders>
              <w:top w:val="nil"/>
              <w:left w:val="nil"/>
              <w:bottom w:val="nil"/>
            </w:tcBorders>
          </w:tcPr>
          <w:p w:rsidR="00741AEB" w:rsidRPr="006B1DE1" w:rsidRDefault="00741AEB" w:rsidP="00741AEB">
            <w:pPr>
              <w:pStyle w:val="Infotext"/>
            </w:pPr>
            <w:r w:rsidRPr="006B1DE1">
              <w:t>Monitoring Officer</w:t>
            </w:r>
          </w:p>
        </w:tc>
      </w:tr>
      <w:tr w:rsidR="00741AEB" w:rsidRPr="006B1DE1" w:rsidTr="00741AEB">
        <w:tc>
          <w:tcPr>
            <w:tcW w:w="2320" w:type="pct"/>
            <w:tcBorders>
              <w:top w:val="nil"/>
              <w:right w:val="nil"/>
            </w:tcBorders>
          </w:tcPr>
          <w:p w:rsidR="00741AEB" w:rsidRPr="006B1DE1" w:rsidRDefault="00741AEB" w:rsidP="00741AEB">
            <w:pPr>
              <w:pStyle w:val="Infotext"/>
            </w:pPr>
          </w:p>
          <w:p w:rsidR="00741AEB" w:rsidRPr="006B1DE1" w:rsidRDefault="00741AEB" w:rsidP="003F5751">
            <w:pPr>
              <w:pStyle w:val="Infotext"/>
            </w:pPr>
            <w:r w:rsidRPr="006B1DE1">
              <w:t xml:space="preserve">Date: </w:t>
            </w:r>
            <w:r w:rsidR="00E204CF">
              <w:t xml:space="preserve">22 </w:t>
            </w:r>
            <w:r w:rsidR="005F5F06">
              <w:t>January 2016</w:t>
            </w:r>
          </w:p>
        </w:tc>
        <w:tc>
          <w:tcPr>
            <w:tcW w:w="246" w:type="pct"/>
            <w:tcBorders>
              <w:left w:val="nil"/>
              <w:right w:val="nil"/>
            </w:tcBorders>
          </w:tcPr>
          <w:p w:rsidR="00741AEB" w:rsidRPr="006B1DE1" w:rsidRDefault="00741AEB" w:rsidP="00741AEB">
            <w:pPr>
              <w:pStyle w:val="Infotext"/>
            </w:pPr>
          </w:p>
        </w:tc>
        <w:tc>
          <w:tcPr>
            <w:tcW w:w="133" w:type="pct"/>
            <w:tcBorders>
              <w:top w:val="nil"/>
              <w:left w:val="nil"/>
              <w:right w:val="nil"/>
            </w:tcBorders>
          </w:tcPr>
          <w:p w:rsidR="00741AEB" w:rsidRPr="006B1DE1" w:rsidRDefault="00741AEB" w:rsidP="00741AEB">
            <w:pPr>
              <w:pStyle w:val="Infotext"/>
            </w:pPr>
          </w:p>
        </w:tc>
        <w:tc>
          <w:tcPr>
            <w:tcW w:w="2300" w:type="pct"/>
            <w:tcBorders>
              <w:top w:val="nil"/>
              <w:left w:val="nil"/>
            </w:tcBorders>
          </w:tcPr>
          <w:p w:rsidR="00741AEB" w:rsidRPr="006B1DE1" w:rsidRDefault="00741AEB" w:rsidP="00741AEB">
            <w:pPr>
              <w:pStyle w:val="Infotext"/>
            </w:pPr>
          </w:p>
          <w:p w:rsidR="00741AEB" w:rsidRPr="006B1DE1" w:rsidRDefault="00741AEB" w:rsidP="00741AEB">
            <w:pPr>
              <w:pStyle w:val="Infotext"/>
            </w:pPr>
          </w:p>
        </w:tc>
      </w:tr>
    </w:tbl>
    <w:p w:rsidR="00741AEB" w:rsidRPr="006B1DE1" w:rsidRDefault="00741AEB"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741AEB" w:rsidRPr="006B1DE1" w:rsidTr="00741AEB">
        <w:trPr>
          <w:trHeight w:val="965"/>
        </w:trPr>
        <w:tc>
          <w:tcPr>
            <w:tcW w:w="3025" w:type="pct"/>
            <w:tcBorders>
              <w:right w:val="nil"/>
            </w:tcBorders>
          </w:tcPr>
          <w:p w:rsidR="00741AEB" w:rsidRPr="006B1DE1" w:rsidRDefault="00741AEB" w:rsidP="00741AEB">
            <w:pPr>
              <w:pStyle w:val="Infotext"/>
              <w:rPr>
                <w:rFonts w:ascii="Arial Black" w:hAnsi="Arial Black"/>
              </w:rPr>
            </w:pPr>
          </w:p>
          <w:p w:rsidR="00741AEB" w:rsidRPr="006B1DE1" w:rsidRDefault="00741AEB" w:rsidP="00741AEB">
            <w:pPr>
              <w:pStyle w:val="Infotext"/>
              <w:rPr>
                <w:rFonts w:ascii="Arial Black" w:hAnsi="Arial Black"/>
              </w:rPr>
            </w:pPr>
            <w:r w:rsidRPr="006B1DE1">
              <w:rPr>
                <w:rFonts w:ascii="Arial Black" w:hAnsi="Arial Black"/>
              </w:rPr>
              <w:t>Ward Councillors notified:</w:t>
            </w:r>
          </w:p>
          <w:p w:rsidR="00741AEB" w:rsidRPr="006B1DE1" w:rsidRDefault="00741AEB" w:rsidP="00741AEB">
            <w:pPr>
              <w:pStyle w:val="Infotext"/>
              <w:rPr>
                <w:color w:val="FF0000"/>
              </w:rPr>
            </w:pPr>
          </w:p>
        </w:tc>
        <w:tc>
          <w:tcPr>
            <w:tcW w:w="1975" w:type="pct"/>
            <w:tcBorders>
              <w:left w:val="nil"/>
            </w:tcBorders>
          </w:tcPr>
          <w:p w:rsidR="00741AEB" w:rsidRPr="006B1DE1" w:rsidRDefault="00741AEB" w:rsidP="00741AEB">
            <w:pPr>
              <w:pStyle w:val="Infotext"/>
            </w:pPr>
          </w:p>
          <w:p w:rsidR="00741AEB" w:rsidRPr="006B1DE1" w:rsidRDefault="00741AEB" w:rsidP="00741AEB">
            <w:pPr>
              <w:pStyle w:val="Infotext"/>
              <w:spacing w:before="120"/>
              <w:rPr>
                <w:b/>
              </w:rPr>
            </w:pPr>
            <w:r w:rsidRPr="006B1DE1">
              <w:rPr>
                <w:b/>
              </w:rPr>
              <w:t xml:space="preserve">NO, as it impacts on all Wards </w:t>
            </w:r>
          </w:p>
          <w:p w:rsidR="00741AEB" w:rsidRPr="006B1DE1" w:rsidRDefault="00741AEB" w:rsidP="00741AEB">
            <w:pPr>
              <w:pStyle w:val="Infotext"/>
              <w:rPr>
                <w:i/>
                <w:sz w:val="24"/>
                <w:szCs w:val="24"/>
              </w:rPr>
            </w:pPr>
            <w:r w:rsidRPr="006B1DE1">
              <w:rPr>
                <w:i/>
                <w:sz w:val="24"/>
                <w:szCs w:val="24"/>
              </w:rPr>
              <w:t xml:space="preserve">. </w:t>
            </w:r>
          </w:p>
          <w:p w:rsidR="00741AEB" w:rsidRPr="006B1DE1" w:rsidRDefault="00741AEB" w:rsidP="00741AEB">
            <w:pPr>
              <w:pStyle w:val="Infotext"/>
              <w:ind w:left="173"/>
              <w:rPr>
                <w:i/>
                <w:sz w:val="24"/>
                <w:szCs w:val="24"/>
              </w:rPr>
            </w:pPr>
          </w:p>
        </w:tc>
      </w:tr>
      <w:tr w:rsidR="00741AEB" w:rsidRPr="006B1DE1" w:rsidTr="00741AEB">
        <w:trPr>
          <w:trHeight w:val="965"/>
        </w:trPr>
        <w:tc>
          <w:tcPr>
            <w:tcW w:w="3025" w:type="pct"/>
            <w:tcBorders>
              <w:right w:val="nil"/>
            </w:tcBorders>
          </w:tcPr>
          <w:p w:rsidR="00741AEB" w:rsidRPr="006B1DE1" w:rsidRDefault="00741AEB" w:rsidP="00741AEB">
            <w:pPr>
              <w:pStyle w:val="Infotext"/>
              <w:rPr>
                <w:rFonts w:ascii="Arial Black" w:hAnsi="Arial Black"/>
                <w:color w:val="FF0000"/>
              </w:rPr>
            </w:pPr>
          </w:p>
          <w:p w:rsidR="00741AEB" w:rsidRPr="006B1DE1" w:rsidRDefault="00741AEB" w:rsidP="00741AEB">
            <w:pPr>
              <w:pStyle w:val="Infotext"/>
              <w:rPr>
                <w:rFonts w:ascii="Arial Black" w:hAnsi="Arial Black"/>
              </w:rPr>
            </w:pPr>
            <w:r w:rsidRPr="006B1DE1">
              <w:rPr>
                <w:rFonts w:ascii="Arial Black" w:hAnsi="Arial Black"/>
              </w:rPr>
              <w:t>EqIA carried out:</w:t>
            </w:r>
          </w:p>
          <w:p w:rsidR="00741AEB" w:rsidRPr="006B1DE1" w:rsidRDefault="00741AEB" w:rsidP="00741AEB">
            <w:pPr>
              <w:pStyle w:val="Infotext"/>
              <w:rPr>
                <w:rFonts w:ascii="Arial Black" w:hAnsi="Arial Black"/>
              </w:rPr>
            </w:pPr>
          </w:p>
          <w:p w:rsidR="00741AEB" w:rsidRPr="006B1DE1" w:rsidRDefault="00741AEB" w:rsidP="00741AEB">
            <w:pPr>
              <w:pStyle w:val="Infotext"/>
              <w:rPr>
                <w:rFonts w:ascii="Arial Black" w:hAnsi="Arial Black"/>
                <w:color w:val="FF0000"/>
              </w:rPr>
            </w:pPr>
            <w:r w:rsidRPr="006B1DE1">
              <w:rPr>
                <w:rFonts w:ascii="Arial Black" w:hAnsi="Arial Black"/>
              </w:rPr>
              <w:t>EqIA cleared by:</w:t>
            </w:r>
          </w:p>
        </w:tc>
        <w:tc>
          <w:tcPr>
            <w:tcW w:w="1975" w:type="pct"/>
            <w:tcBorders>
              <w:left w:val="nil"/>
            </w:tcBorders>
          </w:tcPr>
          <w:p w:rsidR="00741AEB" w:rsidRPr="006B1DE1" w:rsidRDefault="00741AEB" w:rsidP="00741AEB">
            <w:pPr>
              <w:pStyle w:val="Infotext"/>
              <w:rPr>
                <w:b/>
                <w:color w:val="FF0000"/>
              </w:rPr>
            </w:pPr>
          </w:p>
          <w:p w:rsidR="00741AEB" w:rsidRPr="006B1DE1" w:rsidRDefault="00741AEB" w:rsidP="00741AEB">
            <w:pPr>
              <w:pStyle w:val="Infotext"/>
              <w:rPr>
                <w:b/>
              </w:rPr>
            </w:pPr>
            <w:r w:rsidRPr="006B1DE1">
              <w:rPr>
                <w:b/>
              </w:rPr>
              <w:t>NO</w:t>
            </w:r>
          </w:p>
          <w:p w:rsidR="00741AEB" w:rsidRPr="006B1DE1" w:rsidRDefault="00741AEB" w:rsidP="00741AEB">
            <w:pPr>
              <w:pStyle w:val="Infotext"/>
              <w:rPr>
                <w:b/>
                <w:color w:val="FF0000"/>
              </w:rPr>
            </w:pPr>
          </w:p>
          <w:p w:rsidR="001A5768" w:rsidRDefault="001A5768" w:rsidP="00741AEB">
            <w:pPr>
              <w:pStyle w:val="Infotext"/>
            </w:pPr>
          </w:p>
          <w:p w:rsidR="00741AEB" w:rsidRPr="006B1DE1" w:rsidRDefault="001A5768" w:rsidP="00741AEB">
            <w:pPr>
              <w:pStyle w:val="Infotext"/>
            </w:pPr>
            <w:bookmarkStart w:id="5" w:name="_GoBack"/>
            <w:bookmarkEnd w:id="5"/>
            <w:r>
              <w:t>N/A</w:t>
            </w:r>
          </w:p>
          <w:p w:rsidR="00741AEB" w:rsidRPr="006B1DE1" w:rsidRDefault="00741AEB" w:rsidP="00741AEB">
            <w:pPr>
              <w:pStyle w:val="Infotext"/>
              <w:rPr>
                <w:color w:val="FF0000"/>
              </w:rPr>
            </w:pPr>
          </w:p>
        </w:tc>
      </w:tr>
    </w:tbl>
    <w:p w:rsidR="00741AEB" w:rsidRPr="006B1DE1" w:rsidRDefault="00741AEB" w:rsidP="00741AEB"/>
    <w:p w:rsidR="00741AEB" w:rsidRPr="006B1DE1" w:rsidRDefault="00741AEB" w:rsidP="00741AEB"/>
    <w:p w:rsidR="00741AEB" w:rsidRPr="006B1DE1" w:rsidRDefault="00741AEB" w:rsidP="00741AEB"/>
    <w:p w:rsidR="00741AEB" w:rsidRPr="006B1DE1" w:rsidRDefault="00741AEB" w:rsidP="00741AEB"/>
    <w:p w:rsidR="00741AEB" w:rsidRPr="006B1DE1" w:rsidRDefault="00741AEB" w:rsidP="00741AEB">
      <w:pPr>
        <w:pStyle w:val="Heading1"/>
        <w:keepNext/>
      </w:pPr>
      <w:r w:rsidRPr="006B1DE1">
        <w:t>Section 6 - Contact Details and Background Papers</w:t>
      </w:r>
    </w:p>
    <w:p w:rsidR="00741AEB" w:rsidRPr="006B1DE1" w:rsidRDefault="00741AEB" w:rsidP="00741AEB">
      <w:pPr>
        <w:keepNext/>
        <w:rPr>
          <w:rFonts w:cs="Arial"/>
        </w:rPr>
      </w:pPr>
    </w:p>
    <w:p w:rsidR="00741AEB" w:rsidRPr="006B1DE1" w:rsidRDefault="00741AEB" w:rsidP="00741AEB">
      <w:pPr>
        <w:keepNext/>
        <w:rPr>
          <w:rFonts w:cs="Arial"/>
        </w:rPr>
      </w:pPr>
    </w:p>
    <w:p w:rsidR="00741AEB" w:rsidRPr="006B1DE1" w:rsidRDefault="00741AEB" w:rsidP="00741AEB">
      <w:pPr>
        <w:pStyle w:val="Infotext"/>
        <w:rPr>
          <w:b/>
        </w:rPr>
      </w:pPr>
      <w:r w:rsidRPr="006B1DE1">
        <w:rPr>
          <w:b/>
        </w:rPr>
        <w:t xml:space="preserve">Contact:  </w:t>
      </w:r>
    </w:p>
    <w:p w:rsidR="00741AEB" w:rsidRPr="006B1DE1" w:rsidRDefault="00741AEB" w:rsidP="00741AEB">
      <w:pPr>
        <w:rPr>
          <w:szCs w:val="24"/>
        </w:rPr>
      </w:pPr>
      <w:r w:rsidRPr="006B1DE1">
        <w:rPr>
          <w:szCs w:val="24"/>
        </w:rPr>
        <w:t>Steve Tingle (</w:t>
      </w:r>
      <w:hyperlink r:id="rId14" w:history="1">
        <w:r w:rsidRPr="006B1DE1">
          <w:rPr>
            <w:rStyle w:val="Hyperlink"/>
            <w:szCs w:val="24"/>
          </w:rPr>
          <w:t>steve.tingle@harrow.gov.uk</w:t>
        </w:r>
      </w:hyperlink>
      <w:r w:rsidRPr="006B1DE1">
        <w:rPr>
          <w:szCs w:val="24"/>
        </w:rPr>
        <w:t>), Senior Financial Advisor Tel: 020 8420 9384</w:t>
      </w:r>
    </w:p>
    <w:p w:rsidR="00741AEB" w:rsidRPr="006B1DE1" w:rsidRDefault="00741AEB" w:rsidP="00741AEB"/>
    <w:p w:rsidR="00741AEB" w:rsidRPr="006B1DE1" w:rsidRDefault="00741AEB" w:rsidP="00741AEB">
      <w:pPr>
        <w:pStyle w:val="Infotext"/>
        <w:rPr>
          <w:b/>
        </w:rPr>
      </w:pPr>
      <w:r w:rsidRPr="006B1DE1">
        <w:rPr>
          <w:b/>
        </w:rPr>
        <w:t xml:space="preserve">Background Papers: </w:t>
      </w:r>
    </w:p>
    <w:p w:rsidR="00741AEB" w:rsidRPr="006B1DE1" w:rsidRDefault="00741AEB" w:rsidP="00741AEB">
      <w:pPr>
        <w:pStyle w:val="Infotext"/>
        <w:rPr>
          <w:b/>
        </w:rPr>
      </w:pPr>
      <w:r w:rsidRPr="006B1DE1">
        <w:rPr>
          <w:b/>
        </w:rPr>
        <w:t>Cabinet February 19 2015</w:t>
      </w:r>
      <w:proofErr w:type="gramStart"/>
      <w:r w:rsidRPr="006B1DE1">
        <w:rPr>
          <w:b/>
        </w:rPr>
        <w:t>:</w:t>
      </w:r>
      <w:proofErr w:type="gramEnd"/>
      <w:r w:rsidR="002C2BF0">
        <w:fldChar w:fldCharType="begin"/>
      </w:r>
      <w:r w:rsidR="002C2BF0">
        <w:instrText xml:space="preserve"> HYPERLINK "http://www.harrow.gov.uk/www2/documents/b19081/Supplemental%20Agenda%20Thursday%2019-Feb-2015%2018.30%20Cabinet.pdf?T=9" </w:instrText>
      </w:r>
      <w:r w:rsidR="002C2BF0">
        <w:fldChar w:fldCharType="separate"/>
      </w:r>
      <w:r w:rsidRPr="006B1DE1">
        <w:rPr>
          <w:rStyle w:val="Hyperlink"/>
          <w:b/>
        </w:rPr>
        <w:t>Final Revenue Budget 2015/16 and Medium Term Financial Strategy 2015/16 to 2018/19</w:t>
      </w:r>
      <w:r w:rsidR="002C2BF0">
        <w:rPr>
          <w:rStyle w:val="Hyperlink"/>
          <w:b/>
        </w:rPr>
        <w:fldChar w:fldCharType="end"/>
      </w:r>
    </w:p>
    <w:p w:rsidR="00741AEB" w:rsidRPr="006B1DE1" w:rsidRDefault="00741AEB" w:rsidP="00741AEB">
      <w:pPr>
        <w:pStyle w:val="Infotext"/>
        <w:rPr>
          <w:rStyle w:val="Hyperlink"/>
          <w:b/>
        </w:rPr>
      </w:pPr>
      <w:r w:rsidRPr="006B1DE1">
        <w:rPr>
          <w:b/>
        </w:rPr>
        <w:lastRenderedPageBreak/>
        <w:t>Cabinet February 19 2015</w:t>
      </w:r>
      <w:proofErr w:type="gramStart"/>
      <w:r w:rsidRPr="006B1DE1">
        <w:rPr>
          <w:b/>
        </w:rPr>
        <w:t>:</w:t>
      </w:r>
      <w:proofErr w:type="gramEnd"/>
      <w:r w:rsidRPr="006B1DE1">
        <w:rPr>
          <w:b/>
        </w:rPr>
        <w:fldChar w:fldCharType="begin"/>
      </w:r>
      <w:r w:rsidRPr="006B1DE1">
        <w:rPr>
          <w:b/>
        </w:rPr>
        <w:instrText xml:space="preserve"> HYPERLINK "http://www.harrow.gov.uk/www2/documents/g62360/Public%20reports%20pack%20Thursday%2019-Feb-2015%2018.30%20Cabinet.pdf?T=10" </w:instrText>
      </w:r>
      <w:r w:rsidRPr="006B1DE1">
        <w:rPr>
          <w:b/>
        </w:rPr>
        <w:fldChar w:fldCharType="separate"/>
      </w:r>
      <w:r w:rsidRPr="006B1DE1">
        <w:rPr>
          <w:rStyle w:val="Hyperlink"/>
          <w:b/>
        </w:rPr>
        <w:t>Capital Programme 2015/16 to 2018/19</w:t>
      </w:r>
    </w:p>
    <w:p w:rsidR="00741AEB" w:rsidRDefault="00741AEB" w:rsidP="00741AEB">
      <w:pPr>
        <w:pStyle w:val="Infotext"/>
        <w:rPr>
          <w:b/>
        </w:rPr>
      </w:pPr>
      <w:r w:rsidRPr="006B1DE1">
        <w:rPr>
          <w:b/>
        </w:rPr>
        <w:fldChar w:fldCharType="end"/>
      </w:r>
      <w:r w:rsidRPr="006B1DE1">
        <w:rPr>
          <w:b/>
        </w:rPr>
        <w:t xml:space="preserve">Cabinet June 2015: </w:t>
      </w:r>
      <w:hyperlink r:id="rId15" w:history="1">
        <w:r w:rsidRPr="006B1DE1">
          <w:rPr>
            <w:rStyle w:val="Hyperlink"/>
            <w:b/>
          </w:rPr>
          <w:t>Revenue and Capital Outturn 2014-15</w:t>
        </w:r>
      </w:hyperlink>
      <w:r w:rsidRPr="006B1DE1">
        <w:rPr>
          <w:b/>
        </w:rPr>
        <w:t xml:space="preserve"> </w:t>
      </w:r>
    </w:p>
    <w:p w:rsidR="00530E7B" w:rsidRDefault="00530E7B" w:rsidP="00741AEB">
      <w:pPr>
        <w:pStyle w:val="Infotext"/>
        <w:rPr>
          <w:rStyle w:val="Hyperlink"/>
          <w:b/>
        </w:rPr>
      </w:pPr>
      <w:r>
        <w:rPr>
          <w:b/>
        </w:rPr>
        <w:t>Cabinet September 2015</w:t>
      </w:r>
      <w:proofErr w:type="gramStart"/>
      <w:r>
        <w:rPr>
          <w:b/>
        </w:rPr>
        <w:t>:</w:t>
      </w:r>
      <w:proofErr w:type="gramEnd"/>
      <w:r w:rsidR="002C2BF0">
        <w:fldChar w:fldCharType="begin"/>
      </w:r>
      <w:r w:rsidR="002C2BF0">
        <w:instrText xml:space="preserve"> HYPERLINK "http://www.harrow.gov.uk/www2/documents/g62616/Public%20reports%20pack%20Thursday%2017-Sep-2015%2018.30%20Cabinet.pdf?T=10" </w:instrText>
      </w:r>
      <w:r w:rsidR="002C2BF0">
        <w:fldChar w:fldCharType="separate"/>
      </w:r>
      <w:r w:rsidRPr="00530E7B">
        <w:rPr>
          <w:rStyle w:val="Hyperlink"/>
          <w:b/>
        </w:rPr>
        <w:t>Revenue and Capital Monitoring as at 30 June 2015</w:t>
      </w:r>
      <w:r w:rsidR="002C2BF0">
        <w:rPr>
          <w:rStyle w:val="Hyperlink"/>
          <w:b/>
        </w:rPr>
        <w:fldChar w:fldCharType="end"/>
      </w:r>
    </w:p>
    <w:p w:rsidR="00AA4AD6" w:rsidRPr="00AA4AD6" w:rsidRDefault="00AA4AD6" w:rsidP="00741AEB">
      <w:pPr>
        <w:pStyle w:val="Infotext"/>
        <w:rPr>
          <w:b/>
        </w:rPr>
      </w:pPr>
      <w:r w:rsidRPr="00AA4AD6">
        <w:rPr>
          <w:rStyle w:val="Hyperlink"/>
          <w:b/>
          <w:color w:val="auto"/>
          <w:u w:val="none"/>
        </w:rPr>
        <w:t>Cabinet December 2015</w:t>
      </w:r>
      <w:proofErr w:type="gramStart"/>
      <w:r w:rsidRPr="00AA4AD6">
        <w:rPr>
          <w:rStyle w:val="Hyperlink"/>
          <w:b/>
          <w:color w:val="auto"/>
          <w:u w:val="none"/>
        </w:rPr>
        <w:t>:</w:t>
      </w:r>
      <w:proofErr w:type="gramEnd"/>
      <w:hyperlink r:id="rId16" w:history="1">
        <w:r w:rsidRPr="00AA4AD6">
          <w:rPr>
            <w:rStyle w:val="Hyperlink"/>
            <w:b/>
          </w:rPr>
          <w:t>Revenue and Capital Monitoring for Quarter 2 as at 30 September 2015</w:t>
        </w:r>
      </w:hyperlink>
    </w:p>
    <w:p w:rsidR="00741AEB" w:rsidRPr="006B1DE1" w:rsidRDefault="00741AEB" w:rsidP="00741AEB">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741AEB" w:rsidRPr="006B1DE1" w:rsidTr="00741AEB">
        <w:trPr>
          <w:trHeight w:val="965"/>
        </w:trPr>
        <w:tc>
          <w:tcPr>
            <w:tcW w:w="2210" w:type="pct"/>
            <w:tcBorders>
              <w:right w:val="nil"/>
            </w:tcBorders>
          </w:tcPr>
          <w:p w:rsidR="00741AEB" w:rsidRPr="006B1DE1" w:rsidRDefault="00741AEB" w:rsidP="00741AEB">
            <w:pPr>
              <w:pStyle w:val="Infotext"/>
            </w:pPr>
          </w:p>
          <w:p w:rsidR="00741AEB" w:rsidRPr="006B1DE1" w:rsidRDefault="00741AEB" w:rsidP="00741AEB">
            <w:pPr>
              <w:pStyle w:val="Infotext"/>
              <w:rPr>
                <w:rFonts w:ascii="Arial Black" w:hAnsi="Arial Black"/>
              </w:rPr>
            </w:pPr>
            <w:r w:rsidRPr="006B1DE1">
              <w:rPr>
                <w:rFonts w:ascii="Arial Black" w:hAnsi="Arial Black"/>
              </w:rPr>
              <w:t>Call-In Waived by the Chairman of Overview and Scrutiny Committee</w:t>
            </w:r>
          </w:p>
          <w:p w:rsidR="00741AEB" w:rsidRPr="006B1DE1" w:rsidRDefault="00741AEB" w:rsidP="00741AEB">
            <w:pPr>
              <w:pStyle w:val="Infotext"/>
            </w:pPr>
          </w:p>
        </w:tc>
        <w:tc>
          <w:tcPr>
            <w:tcW w:w="321" w:type="pct"/>
            <w:tcBorders>
              <w:left w:val="nil"/>
              <w:right w:val="nil"/>
            </w:tcBorders>
          </w:tcPr>
          <w:p w:rsidR="00741AEB" w:rsidRPr="006B1DE1" w:rsidRDefault="00741AEB" w:rsidP="00741AEB">
            <w:pPr>
              <w:pStyle w:val="Infotext"/>
            </w:pPr>
          </w:p>
        </w:tc>
        <w:tc>
          <w:tcPr>
            <w:tcW w:w="2469" w:type="pct"/>
            <w:tcBorders>
              <w:left w:val="nil"/>
            </w:tcBorders>
          </w:tcPr>
          <w:p w:rsidR="00741AEB" w:rsidRPr="006B1DE1" w:rsidRDefault="00741AEB" w:rsidP="00741AEB">
            <w:pPr>
              <w:pStyle w:val="Infotext"/>
            </w:pPr>
          </w:p>
          <w:p w:rsidR="00741AEB" w:rsidRPr="006B1DE1" w:rsidRDefault="00741AEB" w:rsidP="00741AEB">
            <w:pPr>
              <w:pStyle w:val="Infotext"/>
            </w:pPr>
            <w:r w:rsidRPr="006B1DE1">
              <w:rPr>
                <w:b/>
              </w:rPr>
              <w:t>NOT APPLICABLE</w:t>
            </w:r>
          </w:p>
          <w:p w:rsidR="00741AEB" w:rsidRPr="006B1DE1" w:rsidRDefault="00741AEB" w:rsidP="00741AEB">
            <w:pPr>
              <w:pStyle w:val="Infotext"/>
            </w:pPr>
          </w:p>
          <w:p w:rsidR="00741AEB" w:rsidRPr="003B0150" w:rsidRDefault="00741AEB" w:rsidP="00741AEB">
            <w:pPr>
              <w:pStyle w:val="Infotext"/>
              <w:rPr>
                <w:i/>
              </w:rPr>
            </w:pPr>
            <w:r w:rsidRPr="003B0150">
              <w:rPr>
                <w:i/>
              </w:rPr>
              <w:t>[Call-in applies]</w:t>
            </w:r>
          </w:p>
          <w:p w:rsidR="00741AEB" w:rsidRPr="006B1DE1" w:rsidRDefault="00741AEB" w:rsidP="00741AEB">
            <w:pPr>
              <w:pStyle w:val="Infotext"/>
            </w:pPr>
          </w:p>
          <w:p w:rsidR="00741AEB" w:rsidRPr="006B1DE1" w:rsidRDefault="00741AEB" w:rsidP="00741AEB">
            <w:pPr>
              <w:pStyle w:val="Infotext"/>
              <w:ind w:left="173"/>
              <w:rPr>
                <w:i/>
                <w:sz w:val="24"/>
                <w:szCs w:val="24"/>
              </w:rPr>
            </w:pPr>
          </w:p>
        </w:tc>
      </w:tr>
    </w:tbl>
    <w:p w:rsidR="00741AEB" w:rsidRPr="006B1DE1" w:rsidRDefault="00741AEB" w:rsidP="00741AEB">
      <w:pPr>
        <w:pStyle w:val="Infotext"/>
        <w:rPr>
          <w:b/>
        </w:rPr>
      </w:pPr>
    </w:p>
    <w:p w:rsidR="00A323D9" w:rsidRDefault="00A323D9">
      <w:pPr>
        <w:rPr>
          <w:b/>
          <w:sz w:val="28"/>
        </w:rPr>
      </w:pPr>
      <w:r>
        <w:rPr>
          <w:b/>
        </w:rPr>
        <w:br w:type="page"/>
      </w:r>
    </w:p>
    <w:p w:rsidR="00741AEB" w:rsidRPr="00A323D9" w:rsidRDefault="00A323D9" w:rsidP="00A323D9">
      <w:pPr>
        <w:pStyle w:val="Infotext"/>
        <w:tabs>
          <w:tab w:val="left" w:pos="1680"/>
        </w:tabs>
        <w:jc w:val="right"/>
        <w:rPr>
          <w:b/>
          <w:sz w:val="24"/>
          <w:szCs w:val="24"/>
        </w:rPr>
      </w:pPr>
      <w:r w:rsidRPr="00A323D9">
        <w:rPr>
          <w:b/>
          <w:sz w:val="24"/>
          <w:szCs w:val="24"/>
        </w:rPr>
        <w:lastRenderedPageBreak/>
        <w:t>Appendix 1</w:t>
      </w:r>
    </w:p>
    <w:p w:rsidR="00741AEB" w:rsidRPr="006B1DE1" w:rsidRDefault="00BD596A" w:rsidP="005F5F06">
      <w:pPr>
        <w:pStyle w:val="Infotext"/>
        <w:tabs>
          <w:tab w:val="left" w:pos="1680"/>
        </w:tabs>
        <w:ind w:left="-709" w:right="-763"/>
        <w:rPr>
          <w:b/>
        </w:rPr>
      </w:pPr>
      <w:r w:rsidRPr="00BD596A">
        <w:rPr>
          <w:noProof/>
          <w:lang w:eastAsia="en-GB"/>
        </w:rPr>
        <w:drawing>
          <wp:inline distT="0" distB="0" distL="0" distR="0" wp14:anchorId="53CCB5B3" wp14:editId="6F638072">
            <wp:extent cx="6196460" cy="819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8832" cy="8194636"/>
                    </a:xfrm>
                    <a:prstGeom prst="rect">
                      <a:avLst/>
                    </a:prstGeom>
                    <a:noFill/>
                    <a:ln>
                      <a:noFill/>
                    </a:ln>
                  </pic:spPr>
                </pic:pic>
              </a:graphicData>
            </a:graphic>
          </wp:inline>
        </w:drawing>
      </w:r>
      <w:r w:rsidR="00741AEB" w:rsidRPr="006B1DE1">
        <w:rPr>
          <w:b/>
        </w:rPr>
        <w:tab/>
      </w:r>
    </w:p>
    <w:sectPr w:rsidR="00741AEB" w:rsidRPr="006B1DE1" w:rsidSect="001E3C06">
      <w:headerReference w:type="default" r:id="rId18"/>
      <w:footerReference w:type="default" r:id="rId19"/>
      <w:headerReference w:type="first" r:id="rId20"/>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50" w:rsidRDefault="003B0150">
      <w:r>
        <w:separator/>
      </w:r>
    </w:p>
  </w:endnote>
  <w:endnote w:type="continuationSeparator" w:id="0">
    <w:p w:rsidR="003B0150" w:rsidRDefault="003B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62247"/>
      <w:docPartObj>
        <w:docPartGallery w:val="Page Numbers (Bottom of Page)"/>
        <w:docPartUnique/>
      </w:docPartObj>
    </w:sdtPr>
    <w:sdtEndPr>
      <w:rPr>
        <w:noProof/>
      </w:rPr>
    </w:sdtEndPr>
    <w:sdtContent>
      <w:p w:rsidR="003B0150" w:rsidRDefault="003B0150">
        <w:pPr>
          <w:pStyle w:val="Footer"/>
          <w:jc w:val="center"/>
        </w:pPr>
        <w:r>
          <w:fldChar w:fldCharType="begin"/>
        </w:r>
        <w:r>
          <w:instrText xml:space="preserve"> PAGE   \* MERGEFORMAT </w:instrText>
        </w:r>
        <w:r>
          <w:fldChar w:fldCharType="separate"/>
        </w:r>
        <w:r w:rsidR="001A5768">
          <w:rPr>
            <w:noProof/>
          </w:rPr>
          <w:t>29</w:t>
        </w:r>
        <w:r>
          <w:rPr>
            <w:noProof/>
          </w:rPr>
          <w:fldChar w:fldCharType="end"/>
        </w:r>
      </w:p>
    </w:sdtContent>
  </w:sdt>
  <w:p w:rsidR="003B0150" w:rsidRDefault="003B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50" w:rsidRDefault="003B0150">
      <w:r>
        <w:separator/>
      </w:r>
    </w:p>
  </w:footnote>
  <w:footnote w:type="continuationSeparator" w:id="0">
    <w:p w:rsidR="003B0150" w:rsidRDefault="003B0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50" w:rsidRDefault="003B0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50" w:rsidRDefault="003B0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E0D"/>
    <w:multiLevelType w:val="hybridMultilevel"/>
    <w:tmpl w:val="7C403AE2"/>
    <w:lvl w:ilvl="0" w:tplc="EB5CA9B8">
      <w:start w:val="136"/>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E26E5"/>
    <w:multiLevelType w:val="hybridMultilevel"/>
    <w:tmpl w:val="76A8719C"/>
    <w:lvl w:ilvl="0" w:tplc="FC200148">
      <w:start w:val="9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0AD5"/>
    <w:multiLevelType w:val="hybridMultilevel"/>
    <w:tmpl w:val="6C8E0422"/>
    <w:lvl w:ilvl="0" w:tplc="E86E4996">
      <w:start w:val="9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B1F63"/>
    <w:multiLevelType w:val="hybridMultilevel"/>
    <w:tmpl w:val="BB22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F778E"/>
    <w:multiLevelType w:val="hybridMultilevel"/>
    <w:tmpl w:val="92B6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9760D"/>
    <w:multiLevelType w:val="hybridMultilevel"/>
    <w:tmpl w:val="3A94A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41869"/>
    <w:multiLevelType w:val="hybridMultilevel"/>
    <w:tmpl w:val="015EC0C2"/>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CD4EFD"/>
    <w:multiLevelType w:val="hybridMultilevel"/>
    <w:tmpl w:val="85D47E92"/>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02668"/>
    <w:multiLevelType w:val="hybridMultilevel"/>
    <w:tmpl w:val="505AE9FC"/>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9">
    <w:nsid w:val="16E2038A"/>
    <w:multiLevelType w:val="hybridMultilevel"/>
    <w:tmpl w:val="BF5E3120"/>
    <w:lvl w:ilvl="0" w:tplc="C70810DA">
      <w:start w:val="136"/>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75EDF"/>
    <w:multiLevelType w:val="hybridMultilevel"/>
    <w:tmpl w:val="A1B05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8D2D53"/>
    <w:multiLevelType w:val="hybridMultilevel"/>
    <w:tmpl w:val="F0E04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0D03C8"/>
    <w:multiLevelType w:val="hybridMultilevel"/>
    <w:tmpl w:val="5A50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B691D"/>
    <w:multiLevelType w:val="hybridMultilevel"/>
    <w:tmpl w:val="9DAE8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2D1F9F"/>
    <w:multiLevelType w:val="hybridMultilevel"/>
    <w:tmpl w:val="ABE4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D1236D"/>
    <w:multiLevelType w:val="hybridMultilevel"/>
    <w:tmpl w:val="57A01E58"/>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8616B6"/>
    <w:multiLevelType w:val="hybridMultilevel"/>
    <w:tmpl w:val="EEA0FF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22A3863"/>
    <w:multiLevelType w:val="hybridMultilevel"/>
    <w:tmpl w:val="7B247212"/>
    <w:lvl w:ilvl="0" w:tplc="8E12D3B2">
      <w:start w:val="13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B5085B"/>
    <w:multiLevelType w:val="hybridMultilevel"/>
    <w:tmpl w:val="85F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2D4290"/>
    <w:multiLevelType w:val="hybridMultilevel"/>
    <w:tmpl w:val="BD447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95E0F82"/>
    <w:multiLevelType w:val="hybridMultilevel"/>
    <w:tmpl w:val="A03A6AD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72449"/>
    <w:multiLevelType w:val="hybridMultilevel"/>
    <w:tmpl w:val="9B6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E54B84"/>
    <w:multiLevelType w:val="hybridMultilevel"/>
    <w:tmpl w:val="3A2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43D85"/>
    <w:multiLevelType w:val="hybridMultilevel"/>
    <w:tmpl w:val="7422DE9C"/>
    <w:lvl w:ilvl="0" w:tplc="81A658A0">
      <w:start w:val="136"/>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3C012A"/>
    <w:multiLevelType w:val="hybridMultilevel"/>
    <w:tmpl w:val="B3CC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D82333"/>
    <w:multiLevelType w:val="hybridMultilevel"/>
    <w:tmpl w:val="A8BE061A"/>
    <w:lvl w:ilvl="0" w:tplc="6BC274CC">
      <w:start w:val="139"/>
      <w:numFmt w:val="decimal"/>
      <w:lvlText w:val="%1"/>
      <w:lvlJc w:val="left"/>
      <w:pPr>
        <w:ind w:left="465" w:hanging="405"/>
      </w:pPr>
      <w:rPr>
        <w:rFonts w:hint="default"/>
        <w:b w:val="0"/>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49627DB3"/>
    <w:multiLevelType w:val="hybridMultilevel"/>
    <w:tmpl w:val="7E18C694"/>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BC0761"/>
    <w:multiLevelType w:val="hybridMultilevel"/>
    <w:tmpl w:val="7C207D7E"/>
    <w:lvl w:ilvl="0" w:tplc="0809000F">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E92045"/>
    <w:multiLevelType w:val="hybridMultilevel"/>
    <w:tmpl w:val="64D6B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46040D"/>
    <w:multiLevelType w:val="hybridMultilevel"/>
    <w:tmpl w:val="8D8843CC"/>
    <w:lvl w:ilvl="0" w:tplc="8E12D3B2">
      <w:start w:val="13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E16BD"/>
    <w:multiLevelType w:val="hybridMultilevel"/>
    <w:tmpl w:val="234C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E4741C"/>
    <w:multiLevelType w:val="hybridMultilevel"/>
    <w:tmpl w:val="9DC4E458"/>
    <w:lvl w:ilvl="0" w:tplc="83DCF996">
      <w:start w:val="13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E458B1"/>
    <w:multiLevelType w:val="hybridMultilevel"/>
    <w:tmpl w:val="541AC5DE"/>
    <w:lvl w:ilvl="0" w:tplc="C32AAA0E">
      <w:start w:val="136"/>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3C7401"/>
    <w:multiLevelType w:val="hybridMultilevel"/>
    <w:tmpl w:val="5F7213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A04C1098">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E9C52E4"/>
    <w:multiLevelType w:val="hybridMultilevel"/>
    <w:tmpl w:val="643A6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8F1430"/>
    <w:multiLevelType w:val="hybridMultilevel"/>
    <w:tmpl w:val="FC6E9F12"/>
    <w:lvl w:ilvl="0" w:tplc="0A1E77EE">
      <w:start w:val="1"/>
      <w:numFmt w:val="decimal"/>
      <w:lvlText w:val="%1."/>
      <w:lvlJc w:val="left"/>
      <w:pPr>
        <w:tabs>
          <w:tab w:val="num" w:pos="720"/>
        </w:tabs>
        <w:ind w:left="720" w:hanging="72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E8769F"/>
    <w:multiLevelType w:val="hybridMultilevel"/>
    <w:tmpl w:val="C5F26B22"/>
    <w:lvl w:ilvl="0" w:tplc="0809000F">
      <w:start w:val="1"/>
      <w:numFmt w:val="decimal"/>
      <w:lvlText w:val="%1."/>
      <w:lvlJc w:val="left"/>
      <w:pPr>
        <w:ind w:left="786" w:hanging="360"/>
      </w:pPr>
      <w:rPr>
        <w:rFonts w:hint="default"/>
        <w:b w:val="0"/>
        <w:sz w:val="24"/>
        <w:szCs w:val="24"/>
      </w:rPr>
    </w:lvl>
    <w:lvl w:ilvl="1" w:tplc="08090019">
      <w:start w:val="1"/>
      <w:numFmt w:val="lowerLetter"/>
      <w:lvlText w:val="%2."/>
      <w:lvlJc w:val="left"/>
      <w:pPr>
        <w:ind w:left="1440" w:hanging="360"/>
      </w:pPr>
    </w:lvl>
    <w:lvl w:ilvl="2" w:tplc="CF8A885E">
      <w:numFmt w:val="bullet"/>
      <w:lvlText w:val="•"/>
      <w:lvlJc w:val="left"/>
      <w:pPr>
        <w:ind w:left="3000" w:hanging="1020"/>
      </w:pPr>
      <w:rPr>
        <w:rFonts w:ascii="Arial" w:eastAsia="Times New Roman" w:hAnsi="Arial" w:cs="Arial" w:hint="default"/>
      </w:rPr>
    </w:lvl>
    <w:lvl w:ilvl="3" w:tplc="A04C1098">
      <w:start w:val="1"/>
      <w:numFmt w:val="lowerLetter"/>
      <w:lvlText w:val="(%4)"/>
      <w:lvlJc w:val="left"/>
      <w:pPr>
        <w:ind w:left="3210" w:hanging="69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9E3A09"/>
    <w:multiLevelType w:val="hybridMultilevel"/>
    <w:tmpl w:val="45ECC3A8"/>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1806FC"/>
    <w:multiLevelType w:val="hybridMultilevel"/>
    <w:tmpl w:val="33E2DEA6"/>
    <w:lvl w:ilvl="0" w:tplc="8E12D3B2">
      <w:start w:val="139"/>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EC0FD5"/>
    <w:multiLevelType w:val="hybridMultilevel"/>
    <w:tmpl w:val="EA7A05A6"/>
    <w:lvl w:ilvl="0" w:tplc="A5E4BDAC">
      <w:start w:val="134"/>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222590"/>
    <w:multiLevelType w:val="hybridMultilevel"/>
    <w:tmpl w:val="7678593E"/>
    <w:lvl w:ilvl="0" w:tplc="1DE6610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2962E5"/>
    <w:multiLevelType w:val="hybridMultilevel"/>
    <w:tmpl w:val="5BBCA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394DC5"/>
    <w:multiLevelType w:val="hybridMultilevel"/>
    <w:tmpl w:val="7B143BFE"/>
    <w:lvl w:ilvl="0" w:tplc="8572E1A0">
      <w:start w:val="13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C2433A"/>
    <w:multiLevelType w:val="hybridMultilevel"/>
    <w:tmpl w:val="8B6AEBCC"/>
    <w:lvl w:ilvl="0" w:tplc="808E670E">
      <w:start w:val="138"/>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2D061D"/>
    <w:multiLevelType w:val="hybridMultilevel"/>
    <w:tmpl w:val="846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D4622B"/>
    <w:multiLevelType w:val="hybridMultilevel"/>
    <w:tmpl w:val="CE226CB6"/>
    <w:lvl w:ilvl="0" w:tplc="08090017">
      <w:start w:val="1"/>
      <w:numFmt w:val="lowerLetter"/>
      <w:lvlText w:val="%1)"/>
      <w:lvlJc w:val="left"/>
      <w:pPr>
        <w:ind w:left="786" w:hanging="360"/>
      </w:pPr>
      <w:rPr>
        <w:rFonts w:hint="default"/>
        <w:b w:val="0"/>
        <w:sz w:val="24"/>
        <w:szCs w:val="24"/>
      </w:rPr>
    </w:lvl>
    <w:lvl w:ilvl="1" w:tplc="08090019">
      <w:start w:val="1"/>
      <w:numFmt w:val="lowerLetter"/>
      <w:lvlText w:val="%2."/>
      <w:lvlJc w:val="left"/>
      <w:pPr>
        <w:ind w:left="1440" w:hanging="360"/>
      </w:pPr>
    </w:lvl>
    <w:lvl w:ilvl="2" w:tplc="CF8A885E">
      <w:numFmt w:val="bullet"/>
      <w:lvlText w:val="•"/>
      <w:lvlJc w:val="left"/>
      <w:pPr>
        <w:ind w:left="3000" w:hanging="102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E20319"/>
    <w:multiLevelType w:val="hybridMultilevel"/>
    <w:tmpl w:val="434E7E20"/>
    <w:lvl w:ilvl="0" w:tplc="FFE82E7A">
      <w:start w:val="136"/>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BB0786"/>
    <w:multiLevelType w:val="hybridMultilevel"/>
    <w:tmpl w:val="E28A5DDE"/>
    <w:lvl w:ilvl="0" w:tplc="0809000F">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8"/>
  </w:num>
  <w:num w:numId="3">
    <w:abstractNumId w:val="3"/>
  </w:num>
  <w:num w:numId="4">
    <w:abstractNumId w:val="22"/>
  </w:num>
  <w:num w:numId="5">
    <w:abstractNumId w:val="46"/>
  </w:num>
  <w:num w:numId="6">
    <w:abstractNumId w:val="34"/>
  </w:num>
  <w:num w:numId="7">
    <w:abstractNumId w:val="3"/>
  </w:num>
  <w:num w:numId="8">
    <w:abstractNumId w:val="22"/>
  </w:num>
  <w:num w:numId="9">
    <w:abstractNumId w:val="27"/>
  </w:num>
  <w:num w:numId="10">
    <w:abstractNumId w:val="41"/>
  </w:num>
  <w:num w:numId="11">
    <w:abstractNumId w:val="23"/>
  </w:num>
  <w:num w:numId="12">
    <w:abstractNumId w:val="49"/>
  </w:num>
  <w:num w:numId="13">
    <w:abstractNumId w:val="21"/>
  </w:num>
  <w:num w:numId="14">
    <w:abstractNumId w:val="25"/>
  </w:num>
  <w:num w:numId="15">
    <w:abstractNumId w:val="12"/>
  </w:num>
  <w:num w:numId="16">
    <w:abstractNumId w:val="31"/>
  </w:num>
  <w:num w:numId="17">
    <w:abstractNumId w:val="17"/>
  </w:num>
  <w:num w:numId="18">
    <w:abstractNumId w:val="19"/>
  </w:num>
  <w:num w:numId="19">
    <w:abstractNumId w:val="8"/>
  </w:num>
  <w:num w:numId="20">
    <w:abstractNumId w:val="11"/>
  </w:num>
  <w:num w:numId="21">
    <w:abstractNumId w:val="38"/>
  </w:num>
  <w:num w:numId="22">
    <w:abstractNumId w:val="28"/>
  </w:num>
  <w:num w:numId="23">
    <w:abstractNumId w:val="6"/>
  </w:num>
  <w:num w:numId="24">
    <w:abstractNumId w:val="7"/>
  </w:num>
  <w:num w:numId="25">
    <w:abstractNumId w:val="20"/>
  </w:num>
  <w:num w:numId="26">
    <w:abstractNumId w:val="15"/>
  </w:num>
  <w:num w:numId="27">
    <w:abstractNumId w:val="42"/>
  </w:num>
  <w:num w:numId="28">
    <w:abstractNumId w:val="4"/>
  </w:num>
  <w:num w:numId="29">
    <w:abstractNumId w:val="29"/>
  </w:num>
  <w:num w:numId="30">
    <w:abstractNumId w:val="10"/>
  </w:num>
  <w:num w:numId="31">
    <w:abstractNumId w:val="14"/>
  </w:num>
  <w:num w:numId="32">
    <w:abstractNumId w:val="45"/>
  </w:num>
  <w:num w:numId="33">
    <w:abstractNumId w:val="1"/>
  </w:num>
  <w:num w:numId="34">
    <w:abstractNumId w:val="2"/>
  </w:num>
  <w:num w:numId="35">
    <w:abstractNumId w:val="40"/>
  </w:num>
  <w:num w:numId="36">
    <w:abstractNumId w:val="0"/>
  </w:num>
  <w:num w:numId="37">
    <w:abstractNumId w:val="33"/>
  </w:num>
  <w:num w:numId="38">
    <w:abstractNumId w:val="9"/>
  </w:num>
  <w:num w:numId="39">
    <w:abstractNumId w:val="24"/>
  </w:num>
  <w:num w:numId="40">
    <w:abstractNumId w:val="47"/>
  </w:num>
  <w:num w:numId="41">
    <w:abstractNumId w:val="32"/>
  </w:num>
  <w:num w:numId="42">
    <w:abstractNumId w:val="43"/>
  </w:num>
  <w:num w:numId="43">
    <w:abstractNumId w:val="44"/>
  </w:num>
  <w:num w:numId="44">
    <w:abstractNumId w:val="39"/>
  </w:num>
  <w:num w:numId="45">
    <w:abstractNumId w:val="18"/>
  </w:num>
  <w:num w:numId="46">
    <w:abstractNumId w:val="30"/>
  </w:num>
  <w:num w:numId="47">
    <w:abstractNumId w:val="26"/>
  </w:num>
  <w:num w:numId="48">
    <w:abstractNumId w:val="16"/>
  </w:num>
  <w:num w:numId="49">
    <w:abstractNumId w:val="36"/>
  </w:num>
  <w:num w:numId="50">
    <w:abstractNumId w:val="13"/>
  </w:num>
  <w:num w:numId="51">
    <w:abstractNumId w:val="5"/>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210E"/>
    <w:rsid w:val="00031C5C"/>
    <w:rsid w:val="00037BE0"/>
    <w:rsid w:val="0004029A"/>
    <w:rsid w:val="00042683"/>
    <w:rsid w:val="000445EC"/>
    <w:rsid w:val="00045FE8"/>
    <w:rsid w:val="00053BAD"/>
    <w:rsid w:val="0006034E"/>
    <w:rsid w:val="000618FC"/>
    <w:rsid w:val="00063783"/>
    <w:rsid w:val="00073765"/>
    <w:rsid w:val="00076343"/>
    <w:rsid w:val="000773A9"/>
    <w:rsid w:val="00091897"/>
    <w:rsid w:val="00094E7B"/>
    <w:rsid w:val="00095755"/>
    <w:rsid w:val="00097294"/>
    <w:rsid w:val="00097587"/>
    <w:rsid w:val="000A0B39"/>
    <w:rsid w:val="000A4437"/>
    <w:rsid w:val="000B788F"/>
    <w:rsid w:val="000D4392"/>
    <w:rsid w:val="000F0252"/>
    <w:rsid w:val="000F0621"/>
    <w:rsid w:val="00105119"/>
    <w:rsid w:val="001058A6"/>
    <w:rsid w:val="00113AD3"/>
    <w:rsid w:val="001161E4"/>
    <w:rsid w:val="00123FE5"/>
    <w:rsid w:val="00125A26"/>
    <w:rsid w:val="00127264"/>
    <w:rsid w:val="00142D08"/>
    <w:rsid w:val="00145163"/>
    <w:rsid w:val="0014760B"/>
    <w:rsid w:val="00153933"/>
    <w:rsid w:val="00156B7C"/>
    <w:rsid w:val="00175BF2"/>
    <w:rsid w:val="001840D2"/>
    <w:rsid w:val="001854AD"/>
    <w:rsid w:val="0019085B"/>
    <w:rsid w:val="001966D7"/>
    <w:rsid w:val="001A2C9A"/>
    <w:rsid w:val="001A5768"/>
    <w:rsid w:val="001A637F"/>
    <w:rsid w:val="001A7F3D"/>
    <w:rsid w:val="001B10B1"/>
    <w:rsid w:val="001B2510"/>
    <w:rsid w:val="001B35A1"/>
    <w:rsid w:val="001C327B"/>
    <w:rsid w:val="001C4D2E"/>
    <w:rsid w:val="001C64C0"/>
    <w:rsid w:val="001C7E35"/>
    <w:rsid w:val="001E2C27"/>
    <w:rsid w:val="001E3C06"/>
    <w:rsid w:val="001E726C"/>
    <w:rsid w:val="001F0BE9"/>
    <w:rsid w:val="001F7C04"/>
    <w:rsid w:val="00202D79"/>
    <w:rsid w:val="00205D2F"/>
    <w:rsid w:val="00215E8F"/>
    <w:rsid w:val="002410B2"/>
    <w:rsid w:val="00250C20"/>
    <w:rsid w:val="002548D1"/>
    <w:rsid w:val="00261BEE"/>
    <w:rsid w:val="0026276E"/>
    <w:rsid w:val="0026742C"/>
    <w:rsid w:val="002700B2"/>
    <w:rsid w:val="00274560"/>
    <w:rsid w:val="002774F4"/>
    <w:rsid w:val="00277F3C"/>
    <w:rsid w:val="0028019B"/>
    <w:rsid w:val="0028316A"/>
    <w:rsid w:val="0029131B"/>
    <w:rsid w:val="002A27C0"/>
    <w:rsid w:val="002A3389"/>
    <w:rsid w:val="002B54A6"/>
    <w:rsid w:val="002C05D1"/>
    <w:rsid w:val="002C2BF0"/>
    <w:rsid w:val="002C672F"/>
    <w:rsid w:val="002D407C"/>
    <w:rsid w:val="002E14DC"/>
    <w:rsid w:val="002E4BE3"/>
    <w:rsid w:val="002E5AF5"/>
    <w:rsid w:val="002F3EE9"/>
    <w:rsid w:val="002F7D59"/>
    <w:rsid w:val="0031019C"/>
    <w:rsid w:val="0031185B"/>
    <w:rsid w:val="0031658B"/>
    <w:rsid w:val="003311B8"/>
    <w:rsid w:val="00333FAA"/>
    <w:rsid w:val="003355D7"/>
    <w:rsid w:val="00350F07"/>
    <w:rsid w:val="00351735"/>
    <w:rsid w:val="00352721"/>
    <w:rsid w:val="00354BAA"/>
    <w:rsid w:val="0036036E"/>
    <w:rsid w:val="0036201C"/>
    <w:rsid w:val="00374CD9"/>
    <w:rsid w:val="00375004"/>
    <w:rsid w:val="003767A0"/>
    <w:rsid w:val="00381232"/>
    <w:rsid w:val="0039230A"/>
    <w:rsid w:val="00395F18"/>
    <w:rsid w:val="003B0150"/>
    <w:rsid w:val="003B7581"/>
    <w:rsid w:val="003C0274"/>
    <w:rsid w:val="003C0934"/>
    <w:rsid w:val="003D460D"/>
    <w:rsid w:val="003D6C5E"/>
    <w:rsid w:val="003F47B4"/>
    <w:rsid w:val="003F5751"/>
    <w:rsid w:val="004076C8"/>
    <w:rsid w:val="0041077E"/>
    <w:rsid w:val="00410E11"/>
    <w:rsid w:val="00410EE1"/>
    <w:rsid w:val="00411ADC"/>
    <w:rsid w:val="004122E8"/>
    <w:rsid w:val="00421A4C"/>
    <w:rsid w:val="00431404"/>
    <w:rsid w:val="004363F7"/>
    <w:rsid w:val="00440125"/>
    <w:rsid w:val="00442337"/>
    <w:rsid w:val="00444185"/>
    <w:rsid w:val="00453541"/>
    <w:rsid w:val="00455115"/>
    <w:rsid w:val="0046177B"/>
    <w:rsid w:val="0046460C"/>
    <w:rsid w:val="00471C1F"/>
    <w:rsid w:val="004821B5"/>
    <w:rsid w:val="0048704A"/>
    <w:rsid w:val="004922C6"/>
    <w:rsid w:val="00494AF7"/>
    <w:rsid w:val="004B1F90"/>
    <w:rsid w:val="004C6495"/>
    <w:rsid w:val="004D2DA0"/>
    <w:rsid w:val="004E14A4"/>
    <w:rsid w:val="004F00BD"/>
    <w:rsid w:val="00515238"/>
    <w:rsid w:val="0052035E"/>
    <w:rsid w:val="005255D6"/>
    <w:rsid w:val="00525D83"/>
    <w:rsid w:val="00530439"/>
    <w:rsid w:val="00530E7B"/>
    <w:rsid w:val="00530EFA"/>
    <w:rsid w:val="005354D0"/>
    <w:rsid w:val="0053726E"/>
    <w:rsid w:val="00544298"/>
    <w:rsid w:val="0054590F"/>
    <w:rsid w:val="005534E4"/>
    <w:rsid w:val="00553BE5"/>
    <w:rsid w:val="005718B5"/>
    <w:rsid w:val="005808FB"/>
    <w:rsid w:val="005813FE"/>
    <w:rsid w:val="005918B7"/>
    <w:rsid w:val="00594CCD"/>
    <w:rsid w:val="00595104"/>
    <w:rsid w:val="005A34DF"/>
    <w:rsid w:val="005B1AE1"/>
    <w:rsid w:val="005B3F67"/>
    <w:rsid w:val="005D6791"/>
    <w:rsid w:val="005D6EF5"/>
    <w:rsid w:val="005D7C56"/>
    <w:rsid w:val="005E0018"/>
    <w:rsid w:val="005E0AD9"/>
    <w:rsid w:val="005E3A10"/>
    <w:rsid w:val="005E5522"/>
    <w:rsid w:val="005E7509"/>
    <w:rsid w:val="005F5F06"/>
    <w:rsid w:val="00600637"/>
    <w:rsid w:val="00603642"/>
    <w:rsid w:val="00603DCC"/>
    <w:rsid w:val="00605943"/>
    <w:rsid w:val="00611E90"/>
    <w:rsid w:val="006240E1"/>
    <w:rsid w:val="006340F5"/>
    <w:rsid w:val="00637B72"/>
    <w:rsid w:val="00654FA2"/>
    <w:rsid w:val="00655044"/>
    <w:rsid w:val="00660E65"/>
    <w:rsid w:val="006633CE"/>
    <w:rsid w:val="00670F17"/>
    <w:rsid w:val="00677491"/>
    <w:rsid w:val="0068735C"/>
    <w:rsid w:val="00691A04"/>
    <w:rsid w:val="00696A83"/>
    <w:rsid w:val="00697361"/>
    <w:rsid w:val="006A19EC"/>
    <w:rsid w:val="006B58A7"/>
    <w:rsid w:val="006C5EFC"/>
    <w:rsid w:val="006D3696"/>
    <w:rsid w:val="006E1CAF"/>
    <w:rsid w:val="006F057C"/>
    <w:rsid w:val="006F22DA"/>
    <w:rsid w:val="006F2EB3"/>
    <w:rsid w:val="007031A1"/>
    <w:rsid w:val="00714BEE"/>
    <w:rsid w:val="00717FA9"/>
    <w:rsid w:val="00721215"/>
    <w:rsid w:val="00723B7F"/>
    <w:rsid w:val="00741AEB"/>
    <w:rsid w:val="00742521"/>
    <w:rsid w:val="00742D55"/>
    <w:rsid w:val="00745CEB"/>
    <w:rsid w:val="00761C02"/>
    <w:rsid w:val="0077599C"/>
    <w:rsid w:val="00776803"/>
    <w:rsid w:val="00782A49"/>
    <w:rsid w:val="00791192"/>
    <w:rsid w:val="007A2234"/>
    <w:rsid w:val="007B033B"/>
    <w:rsid w:val="007B21A2"/>
    <w:rsid w:val="007B23FC"/>
    <w:rsid w:val="007B64C2"/>
    <w:rsid w:val="007C4B86"/>
    <w:rsid w:val="007D0C1D"/>
    <w:rsid w:val="007D49A3"/>
    <w:rsid w:val="007D4DBF"/>
    <w:rsid w:val="007E2E17"/>
    <w:rsid w:val="007E4580"/>
    <w:rsid w:val="007E4732"/>
    <w:rsid w:val="007E5AE7"/>
    <w:rsid w:val="007F004E"/>
    <w:rsid w:val="00812901"/>
    <w:rsid w:val="00824C92"/>
    <w:rsid w:val="00826B9A"/>
    <w:rsid w:val="00827E32"/>
    <w:rsid w:val="008343D1"/>
    <w:rsid w:val="00837EC2"/>
    <w:rsid w:val="00860227"/>
    <w:rsid w:val="008615DF"/>
    <w:rsid w:val="008753CD"/>
    <w:rsid w:val="00885435"/>
    <w:rsid w:val="008D213B"/>
    <w:rsid w:val="008D4240"/>
    <w:rsid w:val="008D67D6"/>
    <w:rsid w:val="008E1C20"/>
    <w:rsid w:val="008E2188"/>
    <w:rsid w:val="008E224D"/>
    <w:rsid w:val="008E2A4B"/>
    <w:rsid w:val="008E4AE1"/>
    <w:rsid w:val="008F1D65"/>
    <w:rsid w:val="0090344B"/>
    <w:rsid w:val="00903C1B"/>
    <w:rsid w:val="00907203"/>
    <w:rsid w:val="0092620D"/>
    <w:rsid w:val="00935F3A"/>
    <w:rsid w:val="00945BD6"/>
    <w:rsid w:val="00950B0F"/>
    <w:rsid w:val="00952A57"/>
    <w:rsid w:val="00953CD0"/>
    <w:rsid w:val="00956888"/>
    <w:rsid w:val="00957A93"/>
    <w:rsid w:val="0096570D"/>
    <w:rsid w:val="00965ABD"/>
    <w:rsid w:val="00966A35"/>
    <w:rsid w:val="00967408"/>
    <w:rsid w:val="00974AA7"/>
    <w:rsid w:val="00975720"/>
    <w:rsid w:val="009759D8"/>
    <w:rsid w:val="009844BC"/>
    <w:rsid w:val="00987A2E"/>
    <w:rsid w:val="00990E9C"/>
    <w:rsid w:val="00991302"/>
    <w:rsid w:val="00997BE2"/>
    <w:rsid w:val="009B160B"/>
    <w:rsid w:val="009C02BB"/>
    <w:rsid w:val="009D4C10"/>
    <w:rsid w:val="009E5176"/>
    <w:rsid w:val="009E7FE2"/>
    <w:rsid w:val="00A00233"/>
    <w:rsid w:val="00A00952"/>
    <w:rsid w:val="00A00CBF"/>
    <w:rsid w:val="00A03C12"/>
    <w:rsid w:val="00A07300"/>
    <w:rsid w:val="00A10BDE"/>
    <w:rsid w:val="00A156F0"/>
    <w:rsid w:val="00A20113"/>
    <w:rsid w:val="00A22839"/>
    <w:rsid w:val="00A323D9"/>
    <w:rsid w:val="00A33185"/>
    <w:rsid w:val="00A50259"/>
    <w:rsid w:val="00A50565"/>
    <w:rsid w:val="00A53B04"/>
    <w:rsid w:val="00A57770"/>
    <w:rsid w:val="00A72152"/>
    <w:rsid w:val="00A7271A"/>
    <w:rsid w:val="00A77B8F"/>
    <w:rsid w:val="00A83A77"/>
    <w:rsid w:val="00A85FA8"/>
    <w:rsid w:val="00A925C6"/>
    <w:rsid w:val="00A969AA"/>
    <w:rsid w:val="00AA2609"/>
    <w:rsid w:val="00AA4AD6"/>
    <w:rsid w:val="00AA7F02"/>
    <w:rsid w:val="00AB4C90"/>
    <w:rsid w:val="00AB795F"/>
    <w:rsid w:val="00AC0BB3"/>
    <w:rsid w:val="00AC20C2"/>
    <w:rsid w:val="00AC55F8"/>
    <w:rsid w:val="00AC6312"/>
    <w:rsid w:val="00AD73E5"/>
    <w:rsid w:val="00AE517F"/>
    <w:rsid w:val="00AF1127"/>
    <w:rsid w:val="00AF135A"/>
    <w:rsid w:val="00AF641A"/>
    <w:rsid w:val="00AF6F1B"/>
    <w:rsid w:val="00B1160D"/>
    <w:rsid w:val="00B125B1"/>
    <w:rsid w:val="00B16765"/>
    <w:rsid w:val="00B24FC0"/>
    <w:rsid w:val="00B35477"/>
    <w:rsid w:val="00B37595"/>
    <w:rsid w:val="00B42144"/>
    <w:rsid w:val="00B427A7"/>
    <w:rsid w:val="00B53EFF"/>
    <w:rsid w:val="00B54AFA"/>
    <w:rsid w:val="00B63C98"/>
    <w:rsid w:val="00B75106"/>
    <w:rsid w:val="00B76426"/>
    <w:rsid w:val="00B804E8"/>
    <w:rsid w:val="00B842A2"/>
    <w:rsid w:val="00B860EA"/>
    <w:rsid w:val="00B95775"/>
    <w:rsid w:val="00BA3AB5"/>
    <w:rsid w:val="00BA3E2F"/>
    <w:rsid w:val="00BB7370"/>
    <w:rsid w:val="00BC206C"/>
    <w:rsid w:val="00BD1EA7"/>
    <w:rsid w:val="00BD596A"/>
    <w:rsid w:val="00BE1DDA"/>
    <w:rsid w:val="00C01A35"/>
    <w:rsid w:val="00C24AE1"/>
    <w:rsid w:val="00C52CAA"/>
    <w:rsid w:val="00C57267"/>
    <w:rsid w:val="00C60D02"/>
    <w:rsid w:val="00C6530C"/>
    <w:rsid w:val="00C736CB"/>
    <w:rsid w:val="00C801D4"/>
    <w:rsid w:val="00C81947"/>
    <w:rsid w:val="00C858E4"/>
    <w:rsid w:val="00CA3A0F"/>
    <w:rsid w:val="00CA6707"/>
    <w:rsid w:val="00CB1A89"/>
    <w:rsid w:val="00CB2851"/>
    <w:rsid w:val="00CC4B55"/>
    <w:rsid w:val="00CE1C9A"/>
    <w:rsid w:val="00CE2818"/>
    <w:rsid w:val="00CE5E50"/>
    <w:rsid w:val="00CF0FC4"/>
    <w:rsid w:val="00CF1B0C"/>
    <w:rsid w:val="00CF6932"/>
    <w:rsid w:val="00D04D30"/>
    <w:rsid w:val="00D07576"/>
    <w:rsid w:val="00D10C04"/>
    <w:rsid w:val="00D27440"/>
    <w:rsid w:val="00D37F2F"/>
    <w:rsid w:val="00D44E09"/>
    <w:rsid w:val="00D52D46"/>
    <w:rsid w:val="00D575A8"/>
    <w:rsid w:val="00D57782"/>
    <w:rsid w:val="00D60230"/>
    <w:rsid w:val="00D645B0"/>
    <w:rsid w:val="00D64B01"/>
    <w:rsid w:val="00D75528"/>
    <w:rsid w:val="00D80B11"/>
    <w:rsid w:val="00D81219"/>
    <w:rsid w:val="00D835CF"/>
    <w:rsid w:val="00D9410F"/>
    <w:rsid w:val="00DA26FB"/>
    <w:rsid w:val="00DA79D7"/>
    <w:rsid w:val="00DB4DB4"/>
    <w:rsid w:val="00DB6C3D"/>
    <w:rsid w:val="00DC2166"/>
    <w:rsid w:val="00DC5ACF"/>
    <w:rsid w:val="00DC5AEC"/>
    <w:rsid w:val="00DC76F0"/>
    <w:rsid w:val="00DD0380"/>
    <w:rsid w:val="00DD0511"/>
    <w:rsid w:val="00DD3A49"/>
    <w:rsid w:val="00DE030F"/>
    <w:rsid w:val="00DE0509"/>
    <w:rsid w:val="00DE1242"/>
    <w:rsid w:val="00DE71D3"/>
    <w:rsid w:val="00DF08A0"/>
    <w:rsid w:val="00E13D48"/>
    <w:rsid w:val="00E204CF"/>
    <w:rsid w:val="00E2312A"/>
    <w:rsid w:val="00E35125"/>
    <w:rsid w:val="00E35A9A"/>
    <w:rsid w:val="00E4537B"/>
    <w:rsid w:val="00E45D9C"/>
    <w:rsid w:val="00E614EA"/>
    <w:rsid w:val="00E634A6"/>
    <w:rsid w:val="00E6414C"/>
    <w:rsid w:val="00E66211"/>
    <w:rsid w:val="00E77F63"/>
    <w:rsid w:val="00E81CDB"/>
    <w:rsid w:val="00EA341D"/>
    <w:rsid w:val="00EA6835"/>
    <w:rsid w:val="00EB2DA7"/>
    <w:rsid w:val="00EB4273"/>
    <w:rsid w:val="00EB5E57"/>
    <w:rsid w:val="00ED24BB"/>
    <w:rsid w:val="00ED2651"/>
    <w:rsid w:val="00F005D1"/>
    <w:rsid w:val="00F126D7"/>
    <w:rsid w:val="00F27386"/>
    <w:rsid w:val="00F3582A"/>
    <w:rsid w:val="00F43333"/>
    <w:rsid w:val="00F43911"/>
    <w:rsid w:val="00F4466E"/>
    <w:rsid w:val="00F55A32"/>
    <w:rsid w:val="00F5649A"/>
    <w:rsid w:val="00F71F33"/>
    <w:rsid w:val="00F82342"/>
    <w:rsid w:val="00F84EA8"/>
    <w:rsid w:val="00F86C1B"/>
    <w:rsid w:val="00F91AE4"/>
    <w:rsid w:val="00F97476"/>
    <w:rsid w:val="00FA1127"/>
    <w:rsid w:val="00FA3CAE"/>
    <w:rsid w:val="00FA5D52"/>
    <w:rsid w:val="00FB1231"/>
    <w:rsid w:val="00FB15BC"/>
    <w:rsid w:val="00FC3E85"/>
    <w:rsid w:val="00FD1A9C"/>
    <w:rsid w:val="00FE17E2"/>
    <w:rsid w:val="00FF0AF3"/>
    <w:rsid w:val="00FF3668"/>
    <w:rsid w:val="00FF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0">
    <w:name w:val="Char Char Char Char Char Char Char Char"/>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0">
    <w:name w:val="Char Char Char Char"/>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1">
    <w:name w:val="Char Char Char Char"/>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0">
    <w:name w:val="Char Char Char Char Char Char Char Char"/>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0">
    <w:name w:val="Char Char Char Char"/>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1">
    <w:name w:val="Char Char Char Char"/>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194927581">
      <w:bodyDiv w:val="1"/>
      <w:marLeft w:val="0"/>
      <w:marRight w:val="0"/>
      <w:marTop w:val="0"/>
      <w:marBottom w:val="0"/>
      <w:divBdr>
        <w:top w:val="none" w:sz="0" w:space="0" w:color="auto"/>
        <w:left w:val="none" w:sz="0" w:space="0" w:color="auto"/>
        <w:bottom w:val="none" w:sz="0" w:space="0" w:color="auto"/>
        <w:right w:val="none" w:sz="0" w:space="0" w:color="auto"/>
      </w:divBdr>
    </w:div>
    <w:div w:id="231702436">
      <w:bodyDiv w:val="1"/>
      <w:marLeft w:val="0"/>
      <w:marRight w:val="0"/>
      <w:marTop w:val="0"/>
      <w:marBottom w:val="0"/>
      <w:divBdr>
        <w:top w:val="none" w:sz="0" w:space="0" w:color="auto"/>
        <w:left w:val="none" w:sz="0" w:space="0" w:color="auto"/>
        <w:bottom w:val="none" w:sz="0" w:space="0" w:color="auto"/>
        <w:right w:val="none" w:sz="0" w:space="0" w:color="auto"/>
      </w:divBdr>
    </w:div>
    <w:div w:id="439422349">
      <w:bodyDiv w:val="1"/>
      <w:marLeft w:val="0"/>
      <w:marRight w:val="0"/>
      <w:marTop w:val="0"/>
      <w:marBottom w:val="0"/>
      <w:divBdr>
        <w:top w:val="none" w:sz="0" w:space="0" w:color="auto"/>
        <w:left w:val="none" w:sz="0" w:space="0" w:color="auto"/>
        <w:bottom w:val="none" w:sz="0" w:space="0" w:color="auto"/>
        <w:right w:val="none" w:sz="0" w:space="0" w:color="auto"/>
      </w:divBdr>
    </w:div>
    <w:div w:id="51742382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4078437">
      <w:bodyDiv w:val="1"/>
      <w:marLeft w:val="0"/>
      <w:marRight w:val="0"/>
      <w:marTop w:val="0"/>
      <w:marBottom w:val="0"/>
      <w:divBdr>
        <w:top w:val="none" w:sz="0" w:space="0" w:color="auto"/>
        <w:left w:val="none" w:sz="0" w:space="0" w:color="auto"/>
        <w:bottom w:val="none" w:sz="0" w:space="0" w:color="auto"/>
        <w:right w:val="none" w:sz="0" w:space="0" w:color="auto"/>
      </w:divBdr>
    </w:div>
    <w:div w:id="799609494">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352294673">
      <w:bodyDiv w:val="1"/>
      <w:marLeft w:val="0"/>
      <w:marRight w:val="0"/>
      <w:marTop w:val="0"/>
      <w:marBottom w:val="0"/>
      <w:divBdr>
        <w:top w:val="none" w:sz="0" w:space="0" w:color="auto"/>
        <w:left w:val="none" w:sz="0" w:space="0" w:color="auto"/>
        <w:bottom w:val="none" w:sz="0" w:space="0" w:color="auto"/>
        <w:right w:val="none" w:sz="0" w:space="0" w:color="auto"/>
      </w:divBdr>
    </w:div>
    <w:div w:id="1352537325">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 w:id="1632248791">
      <w:bodyDiv w:val="1"/>
      <w:marLeft w:val="0"/>
      <w:marRight w:val="0"/>
      <w:marTop w:val="0"/>
      <w:marBottom w:val="0"/>
      <w:divBdr>
        <w:top w:val="none" w:sz="0" w:space="0" w:color="auto"/>
        <w:left w:val="none" w:sz="0" w:space="0" w:color="auto"/>
        <w:bottom w:val="none" w:sz="0" w:space="0" w:color="auto"/>
        <w:right w:val="none" w:sz="0" w:space="0" w:color="auto"/>
      </w:divBdr>
    </w:div>
    <w:div w:id="1725135057">
      <w:bodyDiv w:val="1"/>
      <w:marLeft w:val="0"/>
      <w:marRight w:val="0"/>
      <w:marTop w:val="0"/>
      <w:marBottom w:val="0"/>
      <w:divBdr>
        <w:top w:val="none" w:sz="0" w:space="0" w:color="auto"/>
        <w:left w:val="none" w:sz="0" w:space="0" w:color="auto"/>
        <w:bottom w:val="none" w:sz="0" w:space="0" w:color="auto"/>
        <w:right w:val="none" w:sz="0" w:space="0" w:color="auto"/>
      </w:divBdr>
    </w:div>
    <w:div w:id="1811284508">
      <w:bodyDiv w:val="1"/>
      <w:marLeft w:val="0"/>
      <w:marRight w:val="0"/>
      <w:marTop w:val="0"/>
      <w:marBottom w:val="0"/>
      <w:divBdr>
        <w:top w:val="none" w:sz="0" w:space="0" w:color="auto"/>
        <w:left w:val="none" w:sz="0" w:space="0" w:color="auto"/>
        <w:bottom w:val="none" w:sz="0" w:space="0" w:color="auto"/>
        <w:right w:val="none" w:sz="0" w:space="0" w:color="auto"/>
      </w:divBdr>
    </w:div>
    <w:div w:id="1812281462">
      <w:bodyDiv w:val="1"/>
      <w:marLeft w:val="0"/>
      <w:marRight w:val="0"/>
      <w:marTop w:val="0"/>
      <w:marBottom w:val="0"/>
      <w:divBdr>
        <w:top w:val="none" w:sz="0" w:space="0" w:color="auto"/>
        <w:left w:val="none" w:sz="0" w:space="0" w:color="auto"/>
        <w:bottom w:val="none" w:sz="0" w:space="0" w:color="auto"/>
        <w:right w:val="none" w:sz="0" w:space="0" w:color="auto"/>
      </w:divBdr>
    </w:div>
    <w:div w:id="1841583447">
      <w:bodyDiv w:val="1"/>
      <w:marLeft w:val="0"/>
      <w:marRight w:val="0"/>
      <w:marTop w:val="0"/>
      <w:marBottom w:val="0"/>
      <w:divBdr>
        <w:top w:val="none" w:sz="0" w:space="0" w:color="auto"/>
        <w:left w:val="none" w:sz="0" w:space="0" w:color="auto"/>
        <w:bottom w:val="none" w:sz="0" w:space="0" w:color="auto"/>
        <w:right w:val="none" w:sz="0" w:space="0" w:color="auto"/>
      </w:divBdr>
    </w:div>
    <w:div w:id="1860240296">
      <w:bodyDiv w:val="1"/>
      <w:marLeft w:val="0"/>
      <w:marRight w:val="0"/>
      <w:marTop w:val="0"/>
      <w:marBottom w:val="0"/>
      <w:divBdr>
        <w:top w:val="none" w:sz="0" w:space="0" w:color="auto"/>
        <w:left w:val="none" w:sz="0" w:space="0" w:color="auto"/>
        <w:bottom w:val="none" w:sz="0" w:space="0" w:color="auto"/>
        <w:right w:val="none" w:sz="0" w:space="0" w:color="auto"/>
      </w:divBdr>
    </w:div>
    <w:div w:id="1945570269">
      <w:bodyDiv w:val="1"/>
      <w:marLeft w:val="0"/>
      <w:marRight w:val="0"/>
      <w:marTop w:val="0"/>
      <w:marBottom w:val="0"/>
      <w:divBdr>
        <w:top w:val="none" w:sz="0" w:space="0" w:color="auto"/>
        <w:left w:val="none" w:sz="0" w:space="0" w:color="auto"/>
        <w:bottom w:val="none" w:sz="0" w:space="0" w:color="auto"/>
        <w:right w:val="none" w:sz="0" w:space="0" w:color="auto"/>
      </w:divBdr>
    </w:div>
    <w:div w:id="20138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harrow.gov.uk/www2/documents/g62619/Public%20reports%20pack%20Thursday%2010-Dec-2015%2018.30%20Cabinet.pdf?T=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harrow.gov.uk/www2/documents/g62614/Public%20reports%20pack%20Wednesday%2017-Jun-2015%2018.30%20Cabinet.pdf?T=10"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eve.tingle@harro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AAA1-FC36-4C5E-B3FD-97938895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8708</Words>
  <Characters>45980</Characters>
  <Application>Microsoft Office Word</Application>
  <DocSecurity>0</DocSecurity>
  <Lines>383</Lines>
  <Paragraphs>109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54579</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4</cp:revision>
  <cp:lastPrinted>2016-01-11T15:52:00Z</cp:lastPrinted>
  <dcterms:created xsi:type="dcterms:W3CDTF">2016-02-08T11:12:00Z</dcterms:created>
  <dcterms:modified xsi:type="dcterms:W3CDTF">2016-02-08T12:08:00Z</dcterms:modified>
</cp:coreProperties>
</file>